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749" w:rsidRPr="00A03749" w:rsidRDefault="00A03749" w:rsidP="004E1411">
      <w:pPr>
        <w:tabs>
          <w:tab w:val="left" w:pos="142"/>
        </w:tabs>
        <w:spacing w:after="0" w:line="360" w:lineRule="auto"/>
        <w:jc w:val="both"/>
        <w:rPr>
          <w:rFonts w:ascii="Palatino Linotype" w:hAnsi="Palatino Linotype" w:cs="Arial"/>
          <w:b/>
          <w:sz w:val="24"/>
          <w:szCs w:val="24"/>
        </w:rPr>
      </w:pPr>
      <w:bookmarkStart w:id="0" w:name="_GoBack"/>
      <w:bookmarkEnd w:id="0"/>
      <w:r w:rsidRPr="00A03749">
        <w:rPr>
          <w:rFonts w:ascii="Palatino Linotype" w:hAnsi="Palatino Linotype" w:cs="Arial"/>
          <w:b/>
          <w:sz w:val="24"/>
          <w:szCs w:val="24"/>
        </w:rPr>
        <w:t>VOTO PARTICULAR DEL COMISIONADO JOSÉ GUADALUPE LUNA HERN</w:t>
      </w:r>
      <w:r>
        <w:rPr>
          <w:rFonts w:ascii="Palatino Linotype" w:hAnsi="Palatino Linotype" w:cs="Arial"/>
          <w:b/>
          <w:sz w:val="24"/>
          <w:szCs w:val="24"/>
        </w:rPr>
        <w:t xml:space="preserve">ÁNDEZ EN EL RECURSO DE REVISIÓN </w:t>
      </w:r>
      <w:r w:rsidR="009B5D1C">
        <w:rPr>
          <w:rFonts w:ascii="Palatino Linotype" w:hAnsi="Palatino Linotype" w:cs="Arial"/>
          <w:b/>
          <w:sz w:val="24"/>
          <w:szCs w:val="24"/>
        </w:rPr>
        <w:t>04817</w:t>
      </w:r>
      <w:r w:rsidRPr="00A03749">
        <w:rPr>
          <w:rFonts w:ascii="Palatino Linotype" w:hAnsi="Palatino Linotype" w:cs="Arial"/>
          <w:b/>
          <w:sz w:val="24"/>
          <w:szCs w:val="24"/>
        </w:rPr>
        <w:t>/INFOEM/IP/RR/2018</w:t>
      </w:r>
      <w:r w:rsidR="009B5D1C">
        <w:rPr>
          <w:rFonts w:ascii="Palatino Linotype" w:hAnsi="Palatino Linotype" w:cs="Arial"/>
          <w:b/>
          <w:sz w:val="24"/>
          <w:szCs w:val="24"/>
        </w:rPr>
        <w:t xml:space="preserve"> y 04819</w:t>
      </w:r>
      <w:r w:rsidR="009B5D1C" w:rsidRPr="00A03749">
        <w:rPr>
          <w:rFonts w:ascii="Palatino Linotype" w:hAnsi="Palatino Linotype" w:cs="Arial"/>
          <w:b/>
          <w:sz w:val="24"/>
          <w:szCs w:val="24"/>
        </w:rPr>
        <w:t>/INFOEM/IP/RR/2018</w:t>
      </w:r>
      <w:r w:rsidRPr="00A03749">
        <w:rPr>
          <w:rFonts w:ascii="Palatino Linotype" w:hAnsi="Palatino Linotype" w:cs="Arial"/>
          <w:b/>
          <w:sz w:val="24"/>
          <w:szCs w:val="24"/>
        </w:rPr>
        <w:t>.</w:t>
      </w:r>
    </w:p>
    <w:p w:rsidR="00A03749" w:rsidRPr="00A03749" w:rsidRDefault="00A03749" w:rsidP="004E1411">
      <w:pPr>
        <w:tabs>
          <w:tab w:val="left" w:pos="142"/>
        </w:tabs>
        <w:spacing w:after="0" w:line="360" w:lineRule="auto"/>
        <w:jc w:val="both"/>
        <w:rPr>
          <w:rFonts w:ascii="Palatino Linotype" w:hAnsi="Palatino Linotype" w:cs="Arial"/>
          <w:b/>
          <w:sz w:val="24"/>
          <w:szCs w:val="24"/>
        </w:rPr>
      </w:pPr>
    </w:p>
    <w:p w:rsidR="008809CF" w:rsidRDefault="00A03749" w:rsidP="004E1411">
      <w:pPr>
        <w:tabs>
          <w:tab w:val="left" w:pos="142"/>
        </w:tabs>
        <w:spacing w:after="0" w:line="360" w:lineRule="auto"/>
        <w:jc w:val="both"/>
        <w:rPr>
          <w:rFonts w:ascii="Palatino Linotype" w:eastAsia="Calibri" w:hAnsi="Palatino Linotype" w:cs="Arial"/>
          <w:sz w:val="24"/>
          <w:szCs w:val="24"/>
        </w:rPr>
      </w:pPr>
      <w:r w:rsidRPr="00A03749">
        <w:rPr>
          <w:rFonts w:ascii="Palatino Linotype" w:hAnsi="Palatino Linotype" w:cs="Arial"/>
          <w:b/>
          <w:sz w:val="24"/>
          <w:szCs w:val="24"/>
        </w:rPr>
        <w:t xml:space="preserve">Resumen del voto: </w:t>
      </w:r>
      <w:r w:rsidRPr="00A03749">
        <w:rPr>
          <w:rFonts w:ascii="Palatino Linotype" w:eastAsia="Calibri" w:hAnsi="Palatino Linotype" w:cs="Arial"/>
          <w:sz w:val="24"/>
          <w:szCs w:val="24"/>
        </w:rPr>
        <w:t xml:space="preserve">Los Sujetos Obligados en el ámbito de sus competencias, atribuciones y funciones deben permitir de manera eficiente el acceso a la información, al mismo tiempo, deben prever las situaciones en las que sea necesario realizar una clasificación de la información bajo argumentos y fundamentos válidos. </w:t>
      </w:r>
    </w:p>
    <w:p w:rsidR="008809CF" w:rsidRDefault="00C030A9" w:rsidP="004E1411">
      <w:pPr>
        <w:tabs>
          <w:tab w:val="left" w:pos="142"/>
        </w:tabs>
        <w:spacing w:after="0" w:line="360" w:lineRule="auto"/>
        <w:jc w:val="both"/>
        <w:rPr>
          <w:rFonts w:ascii="Palatino Linotype" w:eastAsia="Calibri" w:hAnsi="Palatino Linotype" w:cs="Arial"/>
          <w:sz w:val="24"/>
          <w:szCs w:val="24"/>
          <w:highlight w:val="yellow"/>
        </w:rPr>
      </w:pPr>
      <w:r w:rsidRPr="00A03749">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B6740B7" wp14:editId="132A7397">
                <wp:simplePos x="0" y="0"/>
                <wp:positionH relativeFrom="margin">
                  <wp:posOffset>5715</wp:posOffset>
                </wp:positionH>
                <wp:positionV relativeFrom="paragraph">
                  <wp:posOffset>2332355</wp:posOffset>
                </wp:positionV>
                <wp:extent cx="5562600" cy="28765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62600" cy="28765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F58EF"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83.65pt" to="438.45pt,4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" strokecolor="black [3200]" strokeweight=".5pt">
                <v:stroke joinstyle="miter"/>
                <w10:wrap anchorx="margin"/>
              </v:line>
            </w:pict>
          </mc:Fallback>
        </mc:AlternateContent>
      </w:r>
      <w:r w:rsidR="00A03749" w:rsidRPr="00A03749">
        <w:rPr>
          <w:rFonts w:ascii="Palatino Linotype" w:eastAsia="Calibri" w:hAnsi="Palatino Linotype" w:cs="Arial"/>
          <w:sz w:val="24"/>
          <w:szCs w:val="24"/>
        </w:rPr>
        <w:t>En</w:t>
      </w:r>
      <w:r w:rsidR="009B5D1C">
        <w:rPr>
          <w:rFonts w:ascii="Palatino Linotype" w:eastAsia="Calibri" w:hAnsi="Palatino Linotype" w:cs="Arial"/>
          <w:sz w:val="24"/>
          <w:szCs w:val="24"/>
        </w:rPr>
        <w:t xml:space="preserve"> cuanto al recurso </w:t>
      </w:r>
      <w:r w:rsidR="009B5D1C" w:rsidRPr="009B5D1C">
        <w:rPr>
          <w:rFonts w:ascii="Palatino Linotype" w:eastAsia="Calibri" w:hAnsi="Palatino Linotype" w:cs="Arial"/>
          <w:b/>
          <w:sz w:val="24"/>
          <w:szCs w:val="24"/>
        </w:rPr>
        <w:t>04819/INFOEM/IP/RR/2018</w:t>
      </w:r>
      <w:r w:rsidR="00A03749" w:rsidRPr="00A03749">
        <w:rPr>
          <w:rFonts w:ascii="Palatino Linotype" w:eastAsia="Calibri" w:hAnsi="Palatino Linotype" w:cs="Arial"/>
          <w:sz w:val="24"/>
          <w:szCs w:val="24"/>
        </w:rPr>
        <w:t>, no</w:t>
      </w:r>
      <w:r w:rsidR="00A03749" w:rsidRPr="008809CF">
        <w:rPr>
          <w:rFonts w:ascii="Palatino Linotype" w:eastAsia="Calibri" w:hAnsi="Palatino Linotype" w:cs="Arial"/>
          <w:sz w:val="24"/>
          <w:szCs w:val="24"/>
        </w:rPr>
        <w:t xml:space="preserve"> se debió de considerar como información reservada</w:t>
      </w:r>
      <w:r w:rsidR="008809CF" w:rsidRPr="008809CF">
        <w:rPr>
          <w:rFonts w:ascii="Palatino Linotype" w:eastAsia="Calibri" w:hAnsi="Palatino Linotype" w:cs="Arial"/>
          <w:sz w:val="24"/>
          <w:szCs w:val="24"/>
        </w:rPr>
        <w:t xml:space="preserve">, </w:t>
      </w:r>
      <w:r w:rsidR="009B5D1C">
        <w:rPr>
          <w:rFonts w:ascii="Palatino Linotype" w:eastAsia="Calibri" w:hAnsi="Palatino Linotype" w:cs="Arial"/>
          <w:sz w:val="24"/>
          <w:szCs w:val="24"/>
        </w:rPr>
        <w:t xml:space="preserve">la correspondientes a </w:t>
      </w:r>
      <w:r w:rsidR="008809CF" w:rsidRPr="008809CF">
        <w:rPr>
          <w:rFonts w:ascii="Palatino Linotype" w:eastAsia="Times New Roman" w:hAnsi="Palatino Linotype" w:cs="Times New Roman"/>
          <w:sz w:val="24"/>
          <w:szCs w:val="24"/>
          <w:lang w:eastAsia="es-ES"/>
        </w:rPr>
        <w:t>las medidas precautorias implementadas por las dependencias municipales; tales como, protección civil, seguridad pública, desarrollo urbano, medio ambiente, entre otras; para evitar que los habitantes del conjunto habitacional “Hacienda de San José”, sus bienes; así como, al entorno ambiental, se coloquen en una situación de riesgo</w:t>
      </w:r>
      <w:r w:rsidR="008809CF">
        <w:rPr>
          <w:rFonts w:ascii="Palatino Linotype" w:eastAsia="Times New Roman" w:hAnsi="Palatino Linotype" w:cs="Times New Roman"/>
          <w:sz w:val="24"/>
          <w:szCs w:val="24"/>
          <w:lang w:eastAsia="es-ES"/>
        </w:rPr>
        <w:t xml:space="preserve">, </w:t>
      </w:r>
      <w:r w:rsidR="009B5D1C">
        <w:rPr>
          <w:rFonts w:ascii="Palatino Linotype" w:eastAsia="Times New Roman" w:hAnsi="Palatino Linotype" w:cs="Times New Roman"/>
          <w:sz w:val="24"/>
          <w:szCs w:val="24"/>
          <w:lang w:eastAsia="es-ES"/>
        </w:rPr>
        <w:t xml:space="preserve">toda vez que </w:t>
      </w:r>
      <w:r w:rsidR="009B5D1C" w:rsidRPr="008809CF">
        <w:rPr>
          <w:rFonts w:ascii="Palatino Linotype" w:eastAsia="Calibri" w:hAnsi="Palatino Linotype" w:cs="Arial"/>
          <w:sz w:val="24"/>
          <w:szCs w:val="24"/>
        </w:rPr>
        <w:t>no se está solicitando el expediente</w:t>
      </w:r>
      <w:r w:rsidR="009B5D1C">
        <w:rPr>
          <w:rFonts w:ascii="Palatino Linotype" w:eastAsia="Calibri" w:hAnsi="Palatino Linotype" w:cs="Arial"/>
          <w:sz w:val="24"/>
          <w:szCs w:val="24"/>
        </w:rPr>
        <w:t xml:space="preserve"> completo</w:t>
      </w:r>
      <w:r w:rsidR="009B5D1C" w:rsidRPr="008809CF">
        <w:rPr>
          <w:rFonts w:ascii="Palatino Linotype" w:eastAsia="Calibri" w:hAnsi="Palatino Linotype" w:cs="Arial"/>
          <w:sz w:val="24"/>
          <w:szCs w:val="24"/>
        </w:rPr>
        <w:t xml:space="preserve">, sino solamente </w:t>
      </w:r>
      <w:r w:rsidR="009B5D1C">
        <w:rPr>
          <w:rFonts w:ascii="Palatino Linotype" w:eastAsia="Calibri" w:hAnsi="Palatino Linotype" w:cs="Arial"/>
          <w:sz w:val="24"/>
          <w:szCs w:val="24"/>
        </w:rPr>
        <w:t xml:space="preserve">la </w:t>
      </w:r>
      <w:r w:rsidR="009B5D1C" w:rsidRPr="008809CF">
        <w:rPr>
          <w:rFonts w:ascii="Palatino Linotype" w:eastAsia="Calibri" w:hAnsi="Palatino Linotype" w:cs="Arial"/>
          <w:sz w:val="24"/>
          <w:szCs w:val="24"/>
        </w:rPr>
        <w:t>parte relativa a</w:t>
      </w:r>
      <w:r w:rsidR="009B5D1C">
        <w:rPr>
          <w:rFonts w:ascii="Palatino Linotype" w:eastAsia="Calibri" w:hAnsi="Palatino Linotype" w:cs="Arial"/>
          <w:sz w:val="24"/>
          <w:szCs w:val="24"/>
        </w:rPr>
        <w:t xml:space="preserve"> las medidas precautorias, </w:t>
      </w:r>
      <w:r w:rsidR="008809CF">
        <w:rPr>
          <w:rFonts w:ascii="Palatino Linotype" w:eastAsia="Times New Roman" w:hAnsi="Palatino Linotype" w:cs="Times New Roman"/>
          <w:sz w:val="24"/>
          <w:szCs w:val="24"/>
          <w:lang w:eastAsia="es-ES"/>
        </w:rPr>
        <w:t>información</w:t>
      </w:r>
      <w:r w:rsidR="009B5D1C">
        <w:rPr>
          <w:rFonts w:ascii="Palatino Linotype" w:eastAsia="Times New Roman" w:hAnsi="Palatino Linotype" w:cs="Times New Roman"/>
          <w:sz w:val="24"/>
          <w:szCs w:val="24"/>
          <w:lang w:eastAsia="es-ES"/>
        </w:rPr>
        <w:t xml:space="preserve"> que puedo</w:t>
      </w:r>
      <w:r w:rsidR="008809CF">
        <w:rPr>
          <w:rFonts w:ascii="Palatino Linotype" w:eastAsia="Times New Roman" w:hAnsi="Palatino Linotype" w:cs="Times New Roman"/>
          <w:sz w:val="24"/>
          <w:szCs w:val="24"/>
          <w:lang w:eastAsia="es-ES"/>
        </w:rPr>
        <w:t xml:space="preserve"> ser entregada en versión pública.</w:t>
      </w:r>
    </w:p>
    <w:p w:rsidR="008809CF" w:rsidRDefault="008809CF" w:rsidP="004E1411">
      <w:pPr>
        <w:tabs>
          <w:tab w:val="left" w:pos="142"/>
        </w:tabs>
        <w:spacing w:after="0" w:line="360" w:lineRule="auto"/>
        <w:jc w:val="both"/>
        <w:rPr>
          <w:rFonts w:ascii="Palatino Linotype" w:eastAsia="Calibri" w:hAnsi="Palatino Linotype" w:cs="Arial"/>
          <w:sz w:val="24"/>
          <w:szCs w:val="24"/>
          <w:highlight w:val="yellow"/>
        </w:rPr>
      </w:pPr>
    </w:p>
    <w:p w:rsidR="00A03749" w:rsidRPr="00A03749" w:rsidRDefault="00A03749" w:rsidP="004E1411">
      <w:pPr>
        <w:tabs>
          <w:tab w:val="left" w:pos="142"/>
        </w:tabs>
        <w:spacing w:after="0" w:line="360" w:lineRule="auto"/>
        <w:jc w:val="both"/>
        <w:rPr>
          <w:rFonts w:ascii="Palatino Linotype" w:eastAsia="Calibri" w:hAnsi="Palatino Linotype" w:cs="Arial"/>
          <w:sz w:val="24"/>
          <w:szCs w:val="24"/>
        </w:rPr>
      </w:pPr>
      <w:r w:rsidRPr="00A03749">
        <w:rPr>
          <w:rFonts w:ascii="Palatino Linotype" w:eastAsia="Calibri" w:hAnsi="Palatino Linotype" w:cs="Arial"/>
          <w:sz w:val="24"/>
          <w:szCs w:val="24"/>
          <w:highlight w:val="yellow"/>
        </w:rPr>
        <w:t xml:space="preserve"> </w:t>
      </w:r>
    </w:p>
    <w:p w:rsidR="00A03749" w:rsidRPr="00A03749" w:rsidRDefault="00A03749" w:rsidP="004E1411">
      <w:pPr>
        <w:tabs>
          <w:tab w:val="left" w:pos="142"/>
        </w:tabs>
        <w:spacing w:after="0" w:line="360" w:lineRule="auto"/>
        <w:jc w:val="both"/>
        <w:rPr>
          <w:rFonts w:ascii="Palatino Linotype" w:eastAsia="Calibri" w:hAnsi="Palatino Linotype" w:cs="Arial"/>
          <w:sz w:val="24"/>
          <w:szCs w:val="24"/>
        </w:rPr>
      </w:pPr>
    </w:p>
    <w:p w:rsidR="00A03749" w:rsidRPr="00A03749" w:rsidRDefault="00A03749" w:rsidP="004E1411">
      <w:pPr>
        <w:tabs>
          <w:tab w:val="left" w:pos="142"/>
        </w:tabs>
        <w:spacing w:after="0" w:line="360" w:lineRule="auto"/>
        <w:jc w:val="both"/>
        <w:rPr>
          <w:rFonts w:ascii="Palatino Linotype" w:eastAsia="Calibri" w:hAnsi="Palatino Linotype" w:cs="Arial"/>
          <w:sz w:val="24"/>
          <w:szCs w:val="24"/>
        </w:rPr>
      </w:pPr>
    </w:p>
    <w:p w:rsidR="00A03749" w:rsidRPr="00A03749" w:rsidRDefault="00A03749" w:rsidP="004E1411">
      <w:pPr>
        <w:tabs>
          <w:tab w:val="left" w:pos="142"/>
        </w:tabs>
        <w:spacing w:after="0" w:line="360" w:lineRule="auto"/>
        <w:jc w:val="both"/>
        <w:rPr>
          <w:rFonts w:ascii="Palatino Linotype" w:eastAsia="Calibri" w:hAnsi="Palatino Linotype" w:cs="Arial"/>
          <w:sz w:val="24"/>
          <w:szCs w:val="24"/>
        </w:rPr>
      </w:pPr>
    </w:p>
    <w:sdt>
      <w:sdtPr>
        <w:rPr>
          <w:szCs w:val="24"/>
          <w:lang w:val="es-ES"/>
        </w:rPr>
        <w:id w:val="-1339223820"/>
        <w:docPartObj>
          <w:docPartGallery w:val="Table of Contents"/>
          <w:docPartUnique/>
        </w:docPartObj>
      </w:sdtPr>
      <w:sdtEndPr>
        <w:rPr>
          <w:bCs/>
        </w:rPr>
      </w:sdtEndPr>
      <w:sdtContent>
        <w:p w:rsidR="00A03749" w:rsidRPr="00A03749" w:rsidRDefault="00A03749" w:rsidP="004E1411">
          <w:pPr>
            <w:keepNext/>
            <w:keepLines/>
            <w:tabs>
              <w:tab w:val="left" w:pos="142"/>
            </w:tabs>
            <w:spacing w:before="240" w:after="0"/>
            <w:rPr>
              <w:rFonts w:ascii="Palatino Linotype" w:eastAsiaTheme="majorEastAsia" w:hAnsi="Palatino Linotype" w:cstheme="majorBidi"/>
              <w:b/>
              <w:sz w:val="24"/>
              <w:szCs w:val="24"/>
              <w:lang w:eastAsia="es-MX"/>
            </w:rPr>
          </w:pPr>
          <w:r w:rsidRPr="00A03749">
            <w:rPr>
              <w:rFonts w:ascii="Palatino Linotype" w:eastAsiaTheme="majorEastAsia" w:hAnsi="Palatino Linotype" w:cstheme="majorBidi"/>
              <w:b/>
              <w:sz w:val="24"/>
              <w:szCs w:val="24"/>
              <w:lang w:val="es-ES" w:eastAsia="es-MX"/>
            </w:rPr>
            <w:t>Índice</w:t>
          </w:r>
        </w:p>
        <w:p w:rsidR="009B5D1C" w:rsidRDefault="00A03749" w:rsidP="004E1411">
          <w:pPr>
            <w:pStyle w:val="TDC1"/>
            <w:tabs>
              <w:tab w:val="left" w:pos="142"/>
              <w:tab w:val="left" w:pos="660"/>
              <w:tab w:val="right" w:leader="dot" w:pos="8828"/>
            </w:tabs>
            <w:rPr>
              <w:noProof/>
            </w:rPr>
          </w:pPr>
          <w:r w:rsidRPr="00A03749">
            <w:rPr>
              <w:rFonts w:ascii="Palatino Linotype" w:hAnsi="Palatino Linotype"/>
              <w:b/>
              <w:sz w:val="24"/>
              <w:szCs w:val="24"/>
            </w:rPr>
            <w:fldChar w:fldCharType="begin"/>
          </w:r>
          <w:r w:rsidRPr="00A03749">
            <w:rPr>
              <w:rFonts w:ascii="Palatino Linotype" w:hAnsi="Palatino Linotype"/>
              <w:b/>
              <w:sz w:val="24"/>
              <w:szCs w:val="24"/>
            </w:rPr>
            <w:instrText xml:space="preserve"> TOC \o "1-3" \h \z \u </w:instrText>
          </w:r>
          <w:r w:rsidRPr="00A03749">
            <w:rPr>
              <w:rFonts w:ascii="Palatino Linotype" w:hAnsi="Palatino Linotype"/>
              <w:b/>
              <w:sz w:val="24"/>
              <w:szCs w:val="24"/>
            </w:rPr>
            <w:fldChar w:fldCharType="separate"/>
          </w:r>
          <w:hyperlink w:anchor="_Toc3895614" w:history="1">
            <w:r w:rsidR="009B5D1C" w:rsidRPr="00C13623">
              <w:rPr>
                <w:rStyle w:val="Hipervnculo"/>
                <w:rFonts w:ascii="Palatino Linotype" w:eastAsiaTheme="majorEastAsia" w:hAnsi="Palatino Linotype" w:cstheme="majorBidi"/>
                <w:b/>
                <w:noProof/>
              </w:rPr>
              <w:t>A.</w:t>
            </w:r>
            <w:r w:rsidR="009B5D1C">
              <w:rPr>
                <w:noProof/>
              </w:rPr>
              <w:tab/>
            </w:r>
            <w:r w:rsidR="009B5D1C" w:rsidRPr="00C13623">
              <w:rPr>
                <w:rStyle w:val="Hipervnculo"/>
                <w:rFonts w:ascii="Palatino Linotype" w:eastAsiaTheme="majorEastAsia" w:hAnsi="Palatino Linotype" w:cstheme="majorBidi"/>
                <w:b/>
                <w:noProof/>
              </w:rPr>
              <w:t>Consideraciones Generales.</w:t>
            </w:r>
            <w:r w:rsidR="009B5D1C">
              <w:rPr>
                <w:noProof/>
                <w:webHidden/>
              </w:rPr>
              <w:tab/>
            </w:r>
            <w:r w:rsidR="009B5D1C">
              <w:rPr>
                <w:noProof/>
                <w:webHidden/>
              </w:rPr>
              <w:fldChar w:fldCharType="begin"/>
            </w:r>
            <w:r w:rsidR="009B5D1C">
              <w:rPr>
                <w:noProof/>
                <w:webHidden/>
              </w:rPr>
              <w:instrText xml:space="preserve"> PAGEREF _Toc3895614 \h </w:instrText>
            </w:r>
            <w:r w:rsidR="009B5D1C">
              <w:rPr>
                <w:noProof/>
                <w:webHidden/>
              </w:rPr>
            </w:r>
            <w:r w:rsidR="009B5D1C">
              <w:rPr>
                <w:noProof/>
                <w:webHidden/>
              </w:rPr>
              <w:fldChar w:fldCharType="separate"/>
            </w:r>
            <w:r w:rsidR="00C030A9">
              <w:rPr>
                <w:noProof/>
                <w:webHidden/>
              </w:rPr>
              <w:t>2</w:t>
            </w:r>
            <w:r w:rsidR="009B5D1C">
              <w:rPr>
                <w:noProof/>
                <w:webHidden/>
              </w:rPr>
              <w:fldChar w:fldCharType="end"/>
            </w:r>
          </w:hyperlink>
        </w:p>
        <w:p w:rsidR="009B5D1C" w:rsidRDefault="00CB239F" w:rsidP="004E1411">
          <w:pPr>
            <w:pStyle w:val="TDC1"/>
            <w:tabs>
              <w:tab w:val="left" w:pos="142"/>
              <w:tab w:val="left" w:pos="440"/>
              <w:tab w:val="right" w:leader="dot" w:pos="8828"/>
            </w:tabs>
            <w:rPr>
              <w:noProof/>
            </w:rPr>
          </w:pPr>
          <w:hyperlink w:anchor="_Toc3895615" w:history="1">
            <w:r w:rsidR="009B5D1C" w:rsidRPr="00C13623">
              <w:rPr>
                <w:rStyle w:val="Hipervnculo"/>
                <w:rFonts w:ascii="Palatino Linotype" w:eastAsiaTheme="majorEastAsia" w:hAnsi="Palatino Linotype" w:cstheme="majorBidi"/>
                <w:b/>
                <w:noProof/>
              </w:rPr>
              <w:t>B.</w:t>
            </w:r>
            <w:r w:rsidR="009B5D1C">
              <w:rPr>
                <w:noProof/>
              </w:rPr>
              <w:tab/>
            </w:r>
            <w:r w:rsidR="009B5D1C" w:rsidRPr="00C13623">
              <w:rPr>
                <w:rStyle w:val="Hipervnculo"/>
                <w:rFonts w:ascii="Palatino Linotype" w:eastAsiaTheme="majorEastAsia" w:hAnsi="Palatino Linotype" w:cstheme="majorBidi"/>
                <w:b/>
                <w:noProof/>
              </w:rPr>
              <w:t>De los requerimientos planteados.</w:t>
            </w:r>
            <w:r w:rsidR="009B5D1C">
              <w:rPr>
                <w:noProof/>
                <w:webHidden/>
              </w:rPr>
              <w:tab/>
            </w:r>
            <w:r w:rsidR="009B5D1C">
              <w:rPr>
                <w:noProof/>
                <w:webHidden/>
              </w:rPr>
              <w:fldChar w:fldCharType="begin"/>
            </w:r>
            <w:r w:rsidR="009B5D1C">
              <w:rPr>
                <w:noProof/>
                <w:webHidden/>
              </w:rPr>
              <w:instrText xml:space="preserve"> PAGEREF _Toc3895615 \h </w:instrText>
            </w:r>
            <w:r w:rsidR="009B5D1C">
              <w:rPr>
                <w:noProof/>
                <w:webHidden/>
              </w:rPr>
            </w:r>
            <w:r w:rsidR="009B5D1C">
              <w:rPr>
                <w:noProof/>
                <w:webHidden/>
              </w:rPr>
              <w:fldChar w:fldCharType="separate"/>
            </w:r>
            <w:r w:rsidR="00C030A9">
              <w:rPr>
                <w:noProof/>
                <w:webHidden/>
              </w:rPr>
              <w:t>4</w:t>
            </w:r>
            <w:r w:rsidR="009B5D1C">
              <w:rPr>
                <w:noProof/>
                <w:webHidden/>
              </w:rPr>
              <w:fldChar w:fldCharType="end"/>
            </w:r>
          </w:hyperlink>
        </w:p>
        <w:p w:rsidR="009B5D1C" w:rsidRDefault="00CB239F" w:rsidP="004E1411">
          <w:pPr>
            <w:pStyle w:val="TDC1"/>
            <w:tabs>
              <w:tab w:val="left" w:pos="142"/>
              <w:tab w:val="left" w:pos="440"/>
              <w:tab w:val="right" w:leader="dot" w:pos="8828"/>
            </w:tabs>
            <w:rPr>
              <w:noProof/>
            </w:rPr>
          </w:pPr>
          <w:hyperlink w:anchor="_Toc3895616" w:history="1">
            <w:r w:rsidR="009B5D1C" w:rsidRPr="00C13623">
              <w:rPr>
                <w:rStyle w:val="Hipervnculo"/>
                <w:rFonts w:ascii="Palatino Linotype" w:eastAsiaTheme="majorEastAsia" w:hAnsi="Palatino Linotype" w:cs="Arial"/>
                <w:b/>
                <w:noProof/>
              </w:rPr>
              <w:t>C.</w:t>
            </w:r>
            <w:r w:rsidR="009B5D1C">
              <w:rPr>
                <w:noProof/>
              </w:rPr>
              <w:tab/>
            </w:r>
            <w:r w:rsidR="009B5D1C" w:rsidRPr="00C13623">
              <w:rPr>
                <w:rStyle w:val="Hipervnculo"/>
                <w:rFonts w:ascii="Palatino Linotype" w:eastAsiaTheme="majorEastAsia" w:hAnsi="Palatino Linotype" w:cstheme="majorBidi"/>
                <w:b/>
                <w:noProof/>
              </w:rPr>
              <w:t>De la clasificación de la información.</w:t>
            </w:r>
            <w:r w:rsidR="009B5D1C">
              <w:rPr>
                <w:noProof/>
                <w:webHidden/>
              </w:rPr>
              <w:tab/>
            </w:r>
            <w:r w:rsidR="009B5D1C">
              <w:rPr>
                <w:noProof/>
                <w:webHidden/>
              </w:rPr>
              <w:fldChar w:fldCharType="begin"/>
            </w:r>
            <w:r w:rsidR="009B5D1C">
              <w:rPr>
                <w:noProof/>
                <w:webHidden/>
              </w:rPr>
              <w:instrText xml:space="preserve"> PAGEREF _Toc3895616 \h </w:instrText>
            </w:r>
            <w:r w:rsidR="009B5D1C">
              <w:rPr>
                <w:noProof/>
                <w:webHidden/>
              </w:rPr>
            </w:r>
            <w:r w:rsidR="009B5D1C">
              <w:rPr>
                <w:noProof/>
                <w:webHidden/>
              </w:rPr>
              <w:fldChar w:fldCharType="separate"/>
            </w:r>
            <w:r w:rsidR="00C030A9">
              <w:rPr>
                <w:noProof/>
                <w:webHidden/>
              </w:rPr>
              <w:t>5</w:t>
            </w:r>
            <w:r w:rsidR="009B5D1C">
              <w:rPr>
                <w:noProof/>
                <w:webHidden/>
              </w:rPr>
              <w:fldChar w:fldCharType="end"/>
            </w:r>
          </w:hyperlink>
        </w:p>
        <w:p w:rsidR="009B5D1C" w:rsidRDefault="00CB239F" w:rsidP="004E1411">
          <w:pPr>
            <w:pStyle w:val="TDC2"/>
            <w:tabs>
              <w:tab w:val="left" w:pos="142"/>
              <w:tab w:val="left" w:pos="660"/>
              <w:tab w:val="right" w:leader="dot" w:pos="8828"/>
            </w:tabs>
            <w:ind w:left="0"/>
            <w:rPr>
              <w:noProof/>
            </w:rPr>
          </w:pPr>
          <w:hyperlink w:anchor="_Toc3895617" w:history="1">
            <w:r w:rsidR="009B5D1C" w:rsidRPr="00C13623">
              <w:rPr>
                <w:rStyle w:val="Hipervnculo"/>
                <w:rFonts w:ascii="Palatino Linotype" w:eastAsiaTheme="majorEastAsia" w:hAnsi="Palatino Linotype" w:cstheme="majorBidi"/>
                <w:b/>
                <w:noProof/>
              </w:rPr>
              <w:t>I.</w:t>
            </w:r>
            <w:r w:rsidR="009B5D1C">
              <w:rPr>
                <w:noProof/>
              </w:rPr>
              <w:tab/>
            </w:r>
            <w:r w:rsidR="009B5D1C" w:rsidRPr="00C13623">
              <w:rPr>
                <w:rStyle w:val="Hipervnculo"/>
                <w:rFonts w:ascii="Palatino Linotype" w:eastAsiaTheme="majorEastAsia" w:hAnsi="Palatino Linotype" w:cstheme="majorBidi"/>
                <w:b/>
                <w:noProof/>
              </w:rPr>
              <w:t>Requisitos previos</w:t>
            </w:r>
            <w:r w:rsidR="009B5D1C">
              <w:rPr>
                <w:noProof/>
                <w:webHidden/>
              </w:rPr>
              <w:tab/>
            </w:r>
            <w:r w:rsidR="009B5D1C">
              <w:rPr>
                <w:noProof/>
                <w:webHidden/>
              </w:rPr>
              <w:fldChar w:fldCharType="begin"/>
            </w:r>
            <w:r w:rsidR="009B5D1C">
              <w:rPr>
                <w:noProof/>
                <w:webHidden/>
              </w:rPr>
              <w:instrText xml:space="preserve"> PAGEREF _Toc3895617 \h </w:instrText>
            </w:r>
            <w:r w:rsidR="009B5D1C">
              <w:rPr>
                <w:noProof/>
                <w:webHidden/>
              </w:rPr>
            </w:r>
            <w:r w:rsidR="009B5D1C">
              <w:rPr>
                <w:noProof/>
                <w:webHidden/>
              </w:rPr>
              <w:fldChar w:fldCharType="separate"/>
            </w:r>
            <w:r w:rsidR="00C030A9">
              <w:rPr>
                <w:noProof/>
                <w:webHidden/>
              </w:rPr>
              <w:t>9</w:t>
            </w:r>
            <w:r w:rsidR="009B5D1C">
              <w:rPr>
                <w:noProof/>
                <w:webHidden/>
              </w:rPr>
              <w:fldChar w:fldCharType="end"/>
            </w:r>
          </w:hyperlink>
        </w:p>
        <w:p w:rsidR="009B5D1C" w:rsidRDefault="00CB239F" w:rsidP="004E1411">
          <w:pPr>
            <w:pStyle w:val="TDC2"/>
            <w:tabs>
              <w:tab w:val="left" w:pos="142"/>
              <w:tab w:val="left" w:pos="880"/>
              <w:tab w:val="right" w:leader="dot" w:pos="8828"/>
            </w:tabs>
            <w:ind w:left="0"/>
            <w:rPr>
              <w:noProof/>
            </w:rPr>
          </w:pPr>
          <w:hyperlink w:anchor="_Toc3895618" w:history="1">
            <w:r w:rsidR="009B5D1C" w:rsidRPr="00C13623">
              <w:rPr>
                <w:rStyle w:val="Hipervnculo"/>
                <w:rFonts w:ascii="Palatino Linotype" w:eastAsiaTheme="majorEastAsia" w:hAnsi="Palatino Linotype" w:cstheme="majorBidi"/>
                <w:b/>
                <w:noProof/>
              </w:rPr>
              <w:t>II.</w:t>
            </w:r>
            <w:r w:rsidR="009B5D1C">
              <w:rPr>
                <w:noProof/>
              </w:rPr>
              <w:tab/>
            </w:r>
            <w:r w:rsidR="009B5D1C" w:rsidRPr="00C13623">
              <w:rPr>
                <w:rStyle w:val="Hipervnculo"/>
                <w:rFonts w:ascii="Palatino Linotype" w:eastAsiaTheme="majorEastAsia" w:hAnsi="Palatino Linotype" w:cstheme="majorBidi"/>
                <w:b/>
                <w:noProof/>
              </w:rPr>
              <w:t>Supuestos de clasificación</w:t>
            </w:r>
            <w:r w:rsidR="009B5D1C">
              <w:rPr>
                <w:noProof/>
                <w:webHidden/>
              </w:rPr>
              <w:tab/>
            </w:r>
            <w:r w:rsidR="009B5D1C">
              <w:rPr>
                <w:noProof/>
                <w:webHidden/>
              </w:rPr>
              <w:fldChar w:fldCharType="begin"/>
            </w:r>
            <w:r w:rsidR="009B5D1C">
              <w:rPr>
                <w:noProof/>
                <w:webHidden/>
              </w:rPr>
              <w:instrText xml:space="preserve"> PAGEREF _Toc3895618 \h </w:instrText>
            </w:r>
            <w:r w:rsidR="009B5D1C">
              <w:rPr>
                <w:noProof/>
                <w:webHidden/>
              </w:rPr>
            </w:r>
            <w:r w:rsidR="009B5D1C">
              <w:rPr>
                <w:noProof/>
                <w:webHidden/>
              </w:rPr>
              <w:fldChar w:fldCharType="separate"/>
            </w:r>
            <w:r w:rsidR="00C030A9">
              <w:rPr>
                <w:noProof/>
                <w:webHidden/>
              </w:rPr>
              <w:t>11</w:t>
            </w:r>
            <w:r w:rsidR="009B5D1C">
              <w:rPr>
                <w:noProof/>
                <w:webHidden/>
              </w:rPr>
              <w:fldChar w:fldCharType="end"/>
            </w:r>
          </w:hyperlink>
        </w:p>
        <w:p w:rsidR="009B5D1C" w:rsidRDefault="00CB239F" w:rsidP="004E1411">
          <w:pPr>
            <w:pStyle w:val="TDC2"/>
            <w:tabs>
              <w:tab w:val="left" w:pos="142"/>
              <w:tab w:val="left" w:pos="880"/>
              <w:tab w:val="right" w:leader="dot" w:pos="8828"/>
            </w:tabs>
            <w:ind w:left="0"/>
            <w:rPr>
              <w:noProof/>
            </w:rPr>
          </w:pPr>
          <w:hyperlink w:anchor="_Toc3895619" w:history="1">
            <w:r w:rsidR="009B5D1C" w:rsidRPr="00C13623">
              <w:rPr>
                <w:rStyle w:val="Hipervnculo"/>
                <w:rFonts w:ascii="Palatino Linotype" w:eastAsiaTheme="majorEastAsia" w:hAnsi="Palatino Linotype" w:cstheme="majorBidi"/>
                <w:b/>
                <w:noProof/>
              </w:rPr>
              <w:t>III.</w:t>
            </w:r>
            <w:r w:rsidR="009B5D1C">
              <w:rPr>
                <w:noProof/>
              </w:rPr>
              <w:tab/>
            </w:r>
            <w:r w:rsidR="009B5D1C" w:rsidRPr="00C13623">
              <w:rPr>
                <w:rStyle w:val="Hipervnculo"/>
                <w:rFonts w:ascii="Palatino Linotype" w:eastAsiaTheme="majorEastAsia" w:hAnsi="Palatino Linotype" w:cstheme="majorBidi"/>
                <w:b/>
                <w:noProof/>
              </w:rPr>
              <w:t>Excepciones a los supuestos de clasificación de la información como reservada</w:t>
            </w:r>
            <w:r w:rsidR="009B5D1C">
              <w:rPr>
                <w:noProof/>
                <w:webHidden/>
              </w:rPr>
              <w:tab/>
            </w:r>
            <w:r w:rsidR="009B5D1C">
              <w:rPr>
                <w:noProof/>
                <w:webHidden/>
              </w:rPr>
              <w:fldChar w:fldCharType="begin"/>
            </w:r>
            <w:r w:rsidR="009B5D1C">
              <w:rPr>
                <w:noProof/>
                <w:webHidden/>
              </w:rPr>
              <w:instrText xml:space="preserve"> PAGEREF _Toc3895619 \h </w:instrText>
            </w:r>
            <w:r w:rsidR="009B5D1C">
              <w:rPr>
                <w:noProof/>
                <w:webHidden/>
              </w:rPr>
            </w:r>
            <w:r w:rsidR="009B5D1C">
              <w:rPr>
                <w:noProof/>
                <w:webHidden/>
              </w:rPr>
              <w:fldChar w:fldCharType="separate"/>
            </w:r>
            <w:r w:rsidR="00C030A9">
              <w:rPr>
                <w:noProof/>
                <w:webHidden/>
              </w:rPr>
              <w:t>18</w:t>
            </w:r>
            <w:r w:rsidR="009B5D1C">
              <w:rPr>
                <w:noProof/>
                <w:webHidden/>
              </w:rPr>
              <w:fldChar w:fldCharType="end"/>
            </w:r>
          </w:hyperlink>
        </w:p>
        <w:p w:rsidR="009B5D1C" w:rsidRDefault="00CB239F" w:rsidP="004E1411">
          <w:pPr>
            <w:pStyle w:val="TDC2"/>
            <w:tabs>
              <w:tab w:val="left" w:pos="142"/>
              <w:tab w:val="left" w:pos="880"/>
              <w:tab w:val="right" w:leader="dot" w:pos="8828"/>
            </w:tabs>
            <w:ind w:left="0"/>
            <w:rPr>
              <w:noProof/>
            </w:rPr>
          </w:pPr>
          <w:hyperlink w:anchor="_Toc3895620" w:history="1">
            <w:r w:rsidR="009B5D1C" w:rsidRPr="00C13623">
              <w:rPr>
                <w:rStyle w:val="Hipervnculo"/>
                <w:rFonts w:ascii="Palatino Linotype" w:eastAsiaTheme="majorEastAsia" w:hAnsi="Palatino Linotype" w:cstheme="majorBidi"/>
                <w:b/>
                <w:noProof/>
              </w:rPr>
              <w:t>IV.</w:t>
            </w:r>
            <w:r w:rsidR="009B5D1C">
              <w:rPr>
                <w:noProof/>
              </w:rPr>
              <w:tab/>
            </w:r>
            <w:r w:rsidR="009B5D1C" w:rsidRPr="00C13623">
              <w:rPr>
                <w:rStyle w:val="Hipervnculo"/>
                <w:rFonts w:ascii="Palatino Linotype" w:eastAsiaTheme="majorEastAsia" w:hAnsi="Palatino Linotype" w:cstheme="majorBidi"/>
                <w:b/>
                <w:noProof/>
              </w:rPr>
              <w:t>La intervención del Comité de Transparencia.</w:t>
            </w:r>
            <w:r w:rsidR="009B5D1C">
              <w:rPr>
                <w:noProof/>
                <w:webHidden/>
              </w:rPr>
              <w:tab/>
            </w:r>
            <w:r w:rsidR="009B5D1C">
              <w:rPr>
                <w:noProof/>
                <w:webHidden/>
              </w:rPr>
              <w:fldChar w:fldCharType="begin"/>
            </w:r>
            <w:r w:rsidR="009B5D1C">
              <w:rPr>
                <w:noProof/>
                <w:webHidden/>
              </w:rPr>
              <w:instrText xml:space="preserve"> PAGEREF _Toc3895620 \h </w:instrText>
            </w:r>
            <w:r w:rsidR="009B5D1C">
              <w:rPr>
                <w:noProof/>
                <w:webHidden/>
              </w:rPr>
            </w:r>
            <w:r w:rsidR="009B5D1C">
              <w:rPr>
                <w:noProof/>
                <w:webHidden/>
              </w:rPr>
              <w:fldChar w:fldCharType="separate"/>
            </w:r>
            <w:r w:rsidR="00C030A9">
              <w:rPr>
                <w:noProof/>
                <w:webHidden/>
              </w:rPr>
              <w:t>19</w:t>
            </w:r>
            <w:r w:rsidR="009B5D1C">
              <w:rPr>
                <w:noProof/>
                <w:webHidden/>
              </w:rPr>
              <w:fldChar w:fldCharType="end"/>
            </w:r>
          </w:hyperlink>
        </w:p>
        <w:p w:rsidR="009B5D1C" w:rsidRDefault="00CB239F" w:rsidP="004E1411">
          <w:pPr>
            <w:pStyle w:val="TDC3"/>
            <w:tabs>
              <w:tab w:val="left" w:pos="142"/>
              <w:tab w:val="left" w:pos="1100"/>
              <w:tab w:val="right" w:leader="dot" w:pos="8828"/>
            </w:tabs>
            <w:ind w:left="0"/>
            <w:rPr>
              <w:noProof/>
            </w:rPr>
          </w:pPr>
          <w:hyperlink w:anchor="_Toc3895621" w:history="1">
            <w:r w:rsidR="009B5D1C" w:rsidRPr="00C13623">
              <w:rPr>
                <w:rStyle w:val="Hipervnculo"/>
                <w:rFonts w:ascii="Palatino Linotype" w:eastAsiaTheme="majorEastAsia" w:hAnsi="Palatino Linotype" w:cstheme="majorBidi"/>
                <w:b/>
                <w:noProof/>
              </w:rPr>
              <w:t>A)</w:t>
            </w:r>
            <w:r w:rsidR="009B5D1C">
              <w:rPr>
                <w:noProof/>
              </w:rPr>
              <w:tab/>
            </w:r>
            <w:r w:rsidR="009B5D1C" w:rsidRPr="00C13623">
              <w:rPr>
                <w:rStyle w:val="Hipervnculo"/>
                <w:rFonts w:ascii="Palatino Linotype" w:eastAsiaTheme="majorEastAsia" w:hAnsi="Palatino Linotype" w:cstheme="majorBidi"/>
                <w:b/>
                <w:noProof/>
              </w:rPr>
              <w:t>Formalidades para emitir el acuerdo de clasificación.</w:t>
            </w:r>
            <w:r w:rsidR="009B5D1C">
              <w:rPr>
                <w:noProof/>
                <w:webHidden/>
              </w:rPr>
              <w:tab/>
            </w:r>
            <w:r w:rsidR="009B5D1C">
              <w:rPr>
                <w:noProof/>
                <w:webHidden/>
              </w:rPr>
              <w:fldChar w:fldCharType="begin"/>
            </w:r>
            <w:r w:rsidR="009B5D1C">
              <w:rPr>
                <w:noProof/>
                <w:webHidden/>
              </w:rPr>
              <w:instrText xml:space="preserve"> PAGEREF _Toc3895621 \h </w:instrText>
            </w:r>
            <w:r w:rsidR="009B5D1C">
              <w:rPr>
                <w:noProof/>
                <w:webHidden/>
              </w:rPr>
            </w:r>
            <w:r w:rsidR="009B5D1C">
              <w:rPr>
                <w:noProof/>
                <w:webHidden/>
              </w:rPr>
              <w:fldChar w:fldCharType="separate"/>
            </w:r>
            <w:r w:rsidR="00C030A9">
              <w:rPr>
                <w:noProof/>
                <w:webHidden/>
              </w:rPr>
              <w:t>19</w:t>
            </w:r>
            <w:r w:rsidR="009B5D1C">
              <w:rPr>
                <w:noProof/>
                <w:webHidden/>
              </w:rPr>
              <w:fldChar w:fldCharType="end"/>
            </w:r>
          </w:hyperlink>
        </w:p>
        <w:p w:rsidR="009B5D1C" w:rsidRDefault="00CB239F" w:rsidP="004E1411">
          <w:pPr>
            <w:pStyle w:val="TDC3"/>
            <w:tabs>
              <w:tab w:val="left" w:pos="142"/>
              <w:tab w:val="left" w:pos="880"/>
              <w:tab w:val="right" w:leader="dot" w:pos="8828"/>
            </w:tabs>
            <w:ind w:left="0"/>
            <w:rPr>
              <w:noProof/>
            </w:rPr>
          </w:pPr>
          <w:hyperlink w:anchor="_Toc3895622" w:history="1">
            <w:r w:rsidR="009B5D1C" w:rsidRPr="00C13623">
              <w:rPr>
                <w:rStyle w:val="Hipervnculo"/>
                <w:rFonts w:ascii="Palatino Linotype" w:eastAsiaTheme="majorEastAsia" w:hAnsi="Palatino Linotype" w:cstheme="majorBidi"/>
                <w:b/>
                <w:noProof/>
              </w:rPr>
              <w:t>B)</w:t>
            </w:r>
            <w:r w:rsidR="009B5D1C">
              <w:rPr>
                <w:noProof/>
              </w:rPr>
              <w:tab/>
            </w:r>
            <w:r w:rsidR="009B5D1C" w:rsidRPr="00C13623">
              <w:rPr>
                <w:rStyle w:val="Hipervnculo"/>
                <w:rFonts w:ascii="Palatino Linotype" w:eastAsiaTheme="majorEastAsia" w:hAnsi="Palatino Linotype" w:cstheme="majorBidi"/>
                <w:b/>
                <w:noProof/>
              </w:rPr>
              <w:t>Requisitos de fondo del acuerdo de clasificación</w:t>
            </w:r>
            <w:r w:rsidR="009B5D1C">
              <w:rPr>
                <w:noProof/>
                <w:webHidden/>
              </w:rPr>
              <w:tab/>
            </w:r>
            <w:r w:rsidR="009B5D1C">
              <w:rPr>
                <w:noProof/>
                <w:webHidden/>
              </w:rPr>
              <w:fldChar w:fldCharType="begin"/>
            </w:r>
            <w:r w:rsidR="009B5D1C">
              <w:rPr>
                <w:noProof/>
                <w:webHidden/>
              </w:rPr>
              <w:instrText xml:space="preserve"> PAGEREF _Toc3895622 \h </w:instrText>
            </w:r>
            <w:r w:rsidR="009B5D1C">
              <w:rPr>
                <w:noProof/>
                <w:webHidden/>
              </w:rPr>
            </w:r>
            <w:r w:rsidR="009B5D1C">
              <w:rPr>
                <w:noProof/>
                <w:webHidden/>
              </w:rPr>
              <w:fldChar w:fldCharType="separate"/>
            </w:r>
            <w:r w:rsidR="00C030A9">
              <w:rPr>
                <w:noProof/>
                <w:webHidden/>
              </w:rPr>
              <w:t>20</w:t>
            </w:r>
            <w:r w:rsidR="009B5D1C">
              <w:rPr>
                <w:noProof/>
                <w:webHidden/>
              </w:rPr>
              <w:fldChar w:fldCharType="end"/>
            </w:r>
          </w:hyperlink>
        </w:p>
        <w:p w:rsidR="009B5D1C" w:rsidRDefault="00CB239F" w:rsidP="004E1411">
          <w:pPr>
            <w:pStyle w:val="TDC2"/>
            <w:tabs>
              <w:tab w:val="left" w:pos="142"/>
              <w:tab w:val="left" w:pos="880"/>
              <w:tab w:val="right" w:leader="dot" w:pos="8828"/>
            </w:tabs>
            <w:ind w:left="0"/>
            <w:rPr>
              <w:noProof/>
            </w:rPr>
          </w:pPr>
          <w:hyperlink w:anchor="_Toc3895623" w:history="1">
            <w:r w:rsidR="009B5D1C" w:rsidRPr="00C13623">
              <w:rPr>
                <w:rStyle w:val="Hipervnculo"/>
                <w:rFonts w:ascii="Palatino Linotype" w:eastAsiaTheme="majorEastAsia" w:hAnsi="Palatino Linotype" w:cstheme="majorBidi"/>
                <w:b/>
                <w:noProof/>
              </w:rPr>
              <w:t>V.</w:t>
            </w:r>
            <w:r w:rsidR="009B5D1C">
              <w:rPr>
                <w:noProof/>
              </w:rPr>
              <w:tab/>
            </w:r>
            <w:r w:rsidR="009B5D1C" w:rsidRPr="00C13623">
              <w:rPr>
                <w:rStyle w:val="Hipervnculo"/>
                <w:rFonts w:ascii="Palatino Linotype" w:eastAsiaTheme="majorEastAsia" w:hAnsi="Palatino Linotype" w:cstheme="majorBidi"/>
                <w:b/>
                <w:noProof/>
              </w:rPr>
              <w:t>Condiciones especiales de la clasificación de la información como reservada</w:t>
            </w:r>
            <w:r w:rsidR="009B5D1C">
              <w:rPr>
                <w:noProof/>
                <w:webHidden/>
              </w:rPr>
              <w:tab/>
            </w:r>
            <w:r w:rsidR="009B5D1C">
              <w:rPr>
                <w:noProof/>
                <w:webHidden/>
              </w:rPr>
              <w:fldChar w:fldCharType="begin"/>
            </w:r>
            <w:r w:rsidR="009B5D1C">
              <w:rPr>
                <w:noProof/>
                <w:webHidden/>
              </w:rPr>
              <w:instrText xml:space="preserve"> PAGEREF _Toc3895623 \h </w:instrText>
            </w:r>
            <w:r w:rsidR="009B5D1C">
              <w:rPr>
                <w:noProof/>
                <w:webHidden/>
              </w:rPr>
            </w:r>
            <w:r w:rsidR="009B5D1C">
              <w:rPr>
                <w:noProof/>
                <w:webHidden/>
              </w:rPr>
              <w:fldChar w:fldCharType="separate"/>
            </w:r>
            <w:r w:rsidR="00C030A9">
              <w:rPr>
                <w:noProof/>
                <w:webHidden/>
              </w:rPr>
              <w:t>21</w:t>
            </w:r>
            <w:r w:rsidR="009B5D1C">
              <w:rPr>
                <w:noProof/>
                <w:webHidden/>
              </w:rPr>
              <w:fldChar w:fldCharType="end"/>
            </w:r>
          </w:hyperlink>
        </w:p>
        <w:p w:rsidR="009B5D1C" w:rsidRDefault="00CB239F" w:rsidP="004E1411">
          <w:pPr>
            <w:pStyle w:val="TDC3"/>
            <w:tabs>
              <w:tab w:val="left" w:pos="142"/>
              <w:tab w:val="left" w:pos="880"/>
              <w:tab w:val="right" w:leader="dot" w:pos="8828"/>
            </w:tabs>
            <w:ind w:left="0"/>
            <w:rPr>
              <w:noProof/>
            </w:rPr>
          </w:pPr>
          <w:hyperlink w:anchor="_Toc3895624" w:history="1">
            <w:r w:rsidR="009B5D1C" w:rsidRPr="00C13623">
              <w:rPr>
                <w:rStyle w:val="Hipervnculo"/>
                <w:rFonts w:ascii="Palatino Linotype" w:eastAsiaTheme="majorEastAsia" w:hAnsi="Palatino Linotype" w:cstheme="majorBidi"/>
                <w:b/>
                <w:noProof/>
              </w:rPr>
              <w:t>a.</w:t>
            </w:r>
            <w:r w:rsidR="009B5D1C">
              <w:rPr>
                <w:noProof/>
              </w:rPr>
              <w:tab/>
            </w:r>
            <w:r w:rsidR="009B5D1C" w:rsidRPr="00C13623">
              <w:rPr>
                <w:rStyle w:val="Hipervnculo"/>
                <w:rFonts w:ascii="Palatino Linotype" w:eastAsiaTheme="majorEastAsia" w:hAnsi="Palatino Linotype" w:cstheme="majorBidi"/>
                <w:b/>
                <w:noProof/>
              </w:rPr>
              <w:t>La fundamentación específica</w:t>
            </w:r>
            <w:r w:rsidR="009B5D1C">
              <w:rPr>
                <w:noProof/>
                <w:webHidden/>
              </w:rPr>
              <w:tab/>
            </w:r>
            <w:r w:rsidR="009B5D1C">
              <w:rPr>
                <w:noProof/>
                <w:webHidden/>
              </w:rPr>
              <w:fldChar w:fldCharType="begin"/>
            </w:r>
            <w:r w:rsidR="009B5D1C">
              <w:rPr>
                <w:noProof/>
                <w:webHidden/>
              </w:rPr>
              <w:instrText xml:space="preserve"> PAGEREF _Toc3895624 \h </w:instrText>
            </w:r>
            <w:r w:rsidR="009B5D1C">
              <w:rPr>
                <w:noProof/>
                <w:webHidden/>
              </w:rPr>
            </w:r>
            <w:r w:rsidR="009B5D1C">
              <w:rPr>
                <w:noProof/>
                <w:webHidden/>
              </w:rPr>
              <w:fldChar w:fldCharType="separate"/>
            </w:r>
            <w:r w:rsidR="00C030A9">
              <w:rPr>
                <w:noProof/>
                <w:webHidden/>
              </w:rPr>
              <w:t>21</w:t>
            </w:r>
            <w:r w:rsidR="009B5D1C">
              <w:rPr>
                <w:noProof/>
                <w:webHidden/>
              </w:rPr>
              <w:fldChar w:fldCharType="end"/>
            </w:r>
          </w:hyperlink>
        </w:p>
        <w:p w:rsidR="009B5D1C" w:rsidRDefault="00CB239F" w:rsidP="004E1411">
          <w:pPr>
            <w:pStyle w:val="TDC3"/>
            <w:tabs>
              <w:tab w:val="left" w:pos="142"/>
              <w:tab w:val="left" w:pos="880"/>
              <w:tab w:val="right" w:leader="dot" w:pos="8828"/>
            </w:tabs>
            <w:ind w:left="0"/>
            <w:rPr>
              <w:noProof/>
            </w:rPr>
          </w:pPr>
          <w:hyperlink w:anchor="_Toc3895625" w:history="1">
            <w:r w:rsidR="009B5D1C" w:rsidRPr="00C13623">
              <w:rPr>
                <w:rStyle w:val="Hipervnculo"/>
                <w:rFonts w:ascii="Palatino Linotype" w:eastAsiaTheme="majorEastAsia" w:hAnsi="Palatino Linotype" w:cstheme="majorBidi"/>
                <w:b/>
                <w:noProof/>
              </w:rPr>
              <w:t>b.</w:t>
            </w:r>
            <w:r w:rsidR="009B5D1C">
              <w:rPr>
                <w:noProof/>
              </w:rPr>
              <w:tab/>
            </w:r>
            <w:r w:rsidR="009B5D1C" w:rsidRPr="00C13623">
              <w:rPr>
                <w:rStyle w:val="Hipervnculo"/>
                <w:rFonts w:ascii="Palatino Linotype" w:eastAsiaTheme="majorEastAsia" w:hAnsi="Palatino Linotype" w:cstheme="majorBidi"/>
                <w:b/>
                <w:noProof/>
              </w:rPr>
              <w:t>La prueba de daño</w:t>
            </w:r>
            <w:r w:rsidR="009B5D1C">
              <w:rPr>
                <w:noProof/>
                <w:webHidden/>
              </w:rPr>
              <w:tab/>
            </w:r>
            <w:r w:rsidR="009B5D1C">
              <w:rPr>
                <w:noProof/>
                <w:webHidden/>
              </w:rPr>
              <w:fldChar w:fldCharType="begin"/>
            </w:r>
            <w:r w:rsidR="009B5D1C">
              <w:rPr>
                <w:noProof/>
                <w:webHidden/>
              </w:rPr>
              <w:instrText xml:space="preserve"> PAGEREF _Toc3895625 \h </w:instrText>
            </w:r>
            <w:r w:rsidR="009B5D1C">
              <w:rPr>
                <w:noProof/>
                <w:webHidden/>
              </w:rPr>
            </w:r>
            <w:r w:rsidR="009B5D1C">
              <w:rPr>
                <w:noProof/>
                <w:webHidden/>
              </w:rPr>
              <w:fldChar w:fldCharType="separate"/>
            </w:r>
            <w:r w:rsidR="00C030A9">
              <w:rPr>
                <w:noProof/>
                <w:webHidden/>
              </w:rPr>
              <w:t>22</w:t>
            </w:r>
            <w:r w:rsidR="009B5D1C">
              <w:rPr>
                <w:noProof/>
                <w:webHidden/>
              </w:rPr>
              <w:fldChar w:fldCharType="end"/>
            </w:r>
          </w:hyperlink>
        </w:p>
        <w:p w:rsidR="009B5D1C" w:rsidRDefault="00CB239F" w:rsidP="004E1411">
          <w:pPr>
            <w:pStyle w:val="TDC3"/>
            <w:tabs>
              <w:tab w:val="left" w:pos="142"/>
              <w:tab w:val="left" w:pos="880"/>
              <w:tab w:val="right" w:leader="dot" w:pos="8828"/>
            </w:tabs>
            <w:ind w:left="0"/>
            <w:rPr>
              <w:noProof/>
            </w:rPr>
          </w:pPr>
          <w:hyperlink w:anchor="_Toc3895626" w:history="1">
            <w:r w:rsidR="009B5D1C" w:rsidRPr="00C13623">
              <w:rPr>
                <w:rStyle w:val="Hipervnculo"/>
                <w:rFonts w:ascii="Palatino Linotype" w:eastAsiaTheme="majorEastAsia" w:hAnsi="Palatino Linotype" w:cstheme="majorBidi"/>
                <w:b/>
                <w:noProof/>
              </w:rPr>
              <w:t>c.</w:t>
            </w:r>
            <w:r w:rsidR="009B5D1C">
              <w:rPr>
                <w:noProof/>
              </w:rPr>
              <w:tab/>
            </w:r>
            <w:r w:rsidR="009B5D1C" w:rsidRPr="00C13623">
              <w:rPr>
                <w:rStyle w:val="Hipervnculo"/>
                <w:rFonts w:ascii="Palatino Linotype" w:eastAsiaTheme="majorEastAsia" w:hAnsi="Palatino Linotype" w:cstheme="majorBidi"/>
                <w:b/>
                <w:noProof/>
              </w:rPr>
              <w:t>La clasificación de la información reservada debe ser de manera temporal.</w:t>
            </w:r>
            <w:r w:rsidR="009B5D1C">
              <w:rPr>
                <w:noProof/>
                <w:webHidden/>
              </w:rPr>
              <w:tab/>
            </w:r>
            <w:r w:rsidR="009B5D1C">
              <w:rPr>
                <w:noProof/>
                <w:webHidden/>
              </w:rPr>
              <w:fldChar w:fldCharType="begin"/>
            </w:r>
            <w:r w:rsidR="009B5D1C">
              <w:rPr>
                <w:noProof/>
                <w:webHidden/>
              </w:rPr>
              <w:instrText xml:space="preserve"> PAGEREF _Toc3895626 \h </w:instrText>
            </w:r>
            <w:r w:rsidR="009B5D1C">
              <w:rPr>
                <w:noProof/>
                <w:webHidden/>
              </w:rPr>
            </w:r>
            <w:r w:rsidR="009B5D1C">
              <w:rPr>
                <w:noProof/>
                <w:webHidden/>
              </w:rPr>
              <w:fldChar w:fldCharType="separate"/>
            </w:r>
            <w:r w:rsidR="00C030A9">
              <w:rPr>
                <w:noProof/>
                <w:webHidden/>
              </w:rPr>
              <w:t>25</w:t>
            </w:r>
            <w:r w:rsidR="009B5D1C">
              <w:rPr>
                <w:noProof/>
                <w:webHidden/>
              </w:rPr>
              <w:fldChar w:fldCharType="end"/>
            </w:r>
          </w:hyperlink>
        </w:p>
        <w:p w:rsidR="009B5D1C" w:rsidRDefault="00CB239F" w:rsidP="004E1411">
          <w:pPr>
            <w:pStyle w:val="TDC1"/>
            <w:tabs>
              <w:tab w:val="left" w:pos="142"/>
              <w:tab w:val="left" w:pos="660"/>
              <w:tab w:val="right" w:leader="dot" w:pos="8828"/>
            </w:tabs>
            <w:rPr>
              <w:noProof/>
            </w:rPr>
          </w:pPr>
          <w:hyperlink w:anchor="_Toc3895627" w:history="1">
            <w:r w:rsidR="009B5D1C" w:rsidRPr="00C13623">
              <w:rPr>
                <w:rStyle w:val="Hipervnculo"/>
                <w:rFonts w:ascii="Palatino Linotype" w:eastAsiaTheme="majorEastAsia" w:hAnsi="Palatino Linotype" w:cstheme="majorBidi"/>
                <w:b/>
                <w:noProof/>
              </w:rPr>
              <w:t>VI.</w:t>
            </w:r>
            <w:r w:rsidR="009B5D1C">
              <w:rPr>
                <w:noProof/>
              </w:rPr>
              <w:tab/>
            </w:r>
            <w:r w:rsidR="009B5D1C" w:rsidRPr="00C13623">
              <w:rPr>
                <w:rStyle w:val="Hipervnculo"/>
                <w:rFonts w:ascii="Palatino Linotype" w:eastAsiaTheme="majorEastAsia" w:hAnsi="Palatino Linotype" w:cstheme="majorBidi"/>
                <w:b/>
                <w:noProof/>
              </w:rPr>
              <w:t>Conclusión.</w:t>
            </w:r>
            <w:r w:rsidR="009B5D1C">
              <w:rPr>
                <w:noProof/>
                <w:webHidden/>
              </w:rPr>
              <w:tab/>
            </w:r>
            <w:r w:rsidR="009B5D1C">
              <w:rPr>
                <w:noProof/>
                <w:webHidden/>
              </w:rPr>
              <w:fldChar w:fldCharType="begin"/>
            </w:r>
            <w:r w:rsidR="009B5D1C">
              <w:rPr>
                <w:noProof/>
                <w:webHidden/>
              </w:rPr>
              <w:instrText xml:space="preserve"> PAGEREF _Toc3895627 \h </w:instrText>
            </w:r>
            <w:r w:rsidR="009B5D1C">
              <w:rPr>
                <w:noProof/>
                <w:webHidden/>
              </w:rPr>
            </w:r>
            <w:r w:rsidR="009B5D1C">
              <w:rPr>
                <w:noProof/>
                <w:webHidden/>
              </w:rPr>
              <w:fldChar w:fldCharType="separate"/>
            </w:r>
            <w:r w:rsidR="00C030A9">
              <w:rPr>
                <w:noProof/>
                <w:webHidden/>
              </w:rPr>
              <w:t>28</w:t>
            </w:r>
            <w:r w:rsidR="009B5D1C">
              <w:rPr>
                <w:noProof/>
                <w:webHidden/>
              </w:rPr>
              <w:fldChar w:fldCharType="end"/>
            </w:r>
          </w:hyperlink>
        </w:p>
        <w:p w:rsidR="00A03749" w:rsidRPr="00A03749" w:rsidRDefault="00A03749" w:rsidP="004E1411">
          <w:pPr>
            <w:tabs>
              <w:tab w:val="left" w:pos="142"/>
            </w:tabs>
            <w:rPr>
              <w:rFonts w:ascii="Palatino Linotype" w:hAnsi="Palatino Linotype"/>
              <w:b/>
              <w:bCs/>
              <w:sz w:val="24"/>
              <w:szCs w:val="24"/>
              <w:lang w:val="es-ES"/>
            </w:rPr>
          </w:pPr>
          <w:r w:rsidRPr="00A03749">
            <w:rPr>
              <w:rFonts w:ascii="Palatino Linotype" w:hAnsi="Palatino Linotype"/>
              <w:b/>
              <w:bCs/>
              <w:sz w:val="24"/>
              <w:szCs w:val="24"/>
              <w:lang w:val="es-ES"/>
            </w:rPr>
            <w:fldChar w:fldCharType="end"/>
          </w:r>
        </w:p>
      </w:sdtContent>
    </w:sdt>
    <w:p w:rsidR="009B5D1C" w:rsidRDefault="009B5D1C" w:rsidP="004E1411">
      <w:pPr>
        <w:tabs>
          <w:tab w:val="left" w:pos="142"/>
        </w:tabs>
        <w:rPr>
          <w:rFonts w:ascii="Palatino Linotype" w:hAnsi="Palatino Linotype"/>
          <w:sz w:val="24"/>
          <w:szCs w:val="24"/>
        </w:rPr>
      </w:pPr>
    </w:p>
    <w:p w:rsidR="00A03749" w:rsidRPr="00A03749" w:rsidRDefault="00A03749" w:rsidP="004E1411">
      <w:pPr>
        <w:keepNext/>
        <w:keepLines/>
        <w:numPr>
          <w:ilvl w:val="0"/>
          <w:numId w:val="2"/>
        </w:numPr>
        <w:tabs>
          <w:tab w:val="left" w:pos="142"/>
        </w:tabs>
        <w:spacing w:before="240" w:after="0"/>
        <w:ind w:left="0" w:firstLine="0"/>
        <w:outlineLvl w:val="0"/>
        <w:rPr>
          <w:rFonts w:ascii="Palatino Linotype" w:eastAsiaTheme="majorEastAsia" w:hAnsi="Palatino Linotype" w:cstheme="majorBidi"/>
          <w:b/>
          <w:sz w:val="24"/>
          <w:szCs w:val="24"/>
        </w:rPr>
      </w:pPr>
      <w:bookmarkStart w:id="1" w:name="_Toc3895614"/>
      <w:r w:rsidRPr="00A03749">
        <w:rPr>
          <w:rFonts w:ascii="Palatino Linotype" w:eastAsiaTheme="majorEastAsia" w:hAnsi="Palatino Linotype" w:cstheme="majorBidi"/>
          <w:b/>
          <w:sz w:val="24"/>
          <w:szCs w:val="24"/>
        </w:rPr>
        <w:t>Consideraciones Generales.</w:t>
      </w:r>
      <w:bookmarkEnd w:id="1"/>
    </w:p>
    <w:p w:rsidR="00A03749" w:rsidRPr="00A03749" w:rsidRDefault="00A03749" w:rsidP="004E1411">
      <w:pPr>
        <w:tabs>
          <w:tab w:val="left" w:pos="142"/>
        </w:tabs>
        <w:rPr>
          <w:rFonts w:ascii="Palatino Linotype" w:hAnsi="Palatino Linotype"/>
          <w:sz w:val="24"/>
          <w:szCs w:val="24"/>
        </w:rPr>
      </w:pPr>
    </w:p>
    <w:p w:rsidR="00A03749" w:rsidRPr="00A03749" w:rsidRDefault="00A03749" w:rsidP="004E1411">
      <w:pPr>
        <w:numPr>
          <w:ilvl w:val="0"/>
          <w:numId w:val="1"/>
        </w:numPr>
        <w:tabs>
          <w:tab w:val="left" w:pos="142"/>
        </w:tabs>
        <w:spacing w:after="0" w:line="360" w:lineRule="auto"/>
        <w:ind w:left="0" w:firstLine="0"/>
        <w:contextualSpacing/>
        <w:jc w:val="both"/>
        <w:rPr>
          <w:rFonts w:ascii="Palatino Linotype" w:hAnsi="Palatino Linotype" w:cs="Arial"/>
          <w:b/>
          <w:sz w:val="24"/>
          <w:szCs w:val="24"/>
        </w:rPr>
      </w:pPr>
      <w:r w:rsidRPr="00A03749">
        <w:rPr>
          <w:rFonts w:ascii="Palatino Linotype" w:eastAsia="Times New Roman" w:hAnsi="Palatino Linotype" w:cs="Arial"/>
          <w:sz w:val="24"/>
          <w:szCs w:val="24"/>
          <w:lang w:val="es-ES_tradnl"/>
        </w:rPr>
        <w:t xml:space="preserve">He concurrido con mi voto particular de la presente resolución emitida </w:t>
      </w:r>
      <w:r w:rsidRPr="00A03749">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Pr>
          <w:rFonts w:ascii="Palatino Linotype" w:hAnsi="Palatino Linotype" w:cs="Arial"/>
          <w:sz w:val="24"/>
          <w:szCs w:val="24"/>
        </w:rPr>
        <w:t>Decima</w:t>
      </w:r>
      <w:r w:rsidRPr="00A03749">
        <w:rPr>
          <w:rFonts w:ascii="Palatino Linotype" w:hAnsi="Palatino Linotype" w:cs="Arial"/>
          <w:sz w:val="24"/>
          <w:szCs w:val="24"/>
        </w:rPr>
        <w:t xml:space="preserve"> Sesión Ordinaria celebrada el día </w:t>
      </w:r>
      <w:r>
        <w:rPr>
          <w:rFonts w:ascii="Palatino Linotype" w:hAnsi="Palatino Linotype" w:cs="Arial"/>
          <w:sz w:val="24"/>
          <w:szCs w:val="24"/>
        </w:rPr>
        <w:t>trece</w:t>
      </w:r>
      <w:r w:rsidRPr="00A03749">
        <w:rPr>
          <w:rFonts w:ascii="Palatino Linotype" w:hAnsi="Palatino Linotype" w:cs="Arial"/>
          <w:sz w:val="24"/>
          <w:szCs w:val="24"/>
        </w:rPr>
        <w:t xml:space="preserve"> (</w:t>
      </w:r>
      <w:r>
        <w:rPr>
          <w:rFonts w:ascii="Palatino Linotype" w:hAnsi="Palatino Linotype" w:cs="Arial"/>
          <w:sz w:val="24"/>
          <w:szCs w:val="24"/>
        </w:rPr>
        <w:t>13</w:t>
      </w:r>
      <w:r w:rsidRPr="00A03749">
        <w:rPr>
          <w:rFonts w:ascii="Palatino Linotype" w:hAnsi="Palatino Linotype" w:cs="Arial"/>
          <w:sz w:val="24"/>
          <w:szCs w:val="24"/>
        </w:rPr>
        <w:t xml:space="preserve">) de marzo de dos mil diecinueve, en el recurso </w:t>
      </w:r>
      <w:r w:rsidRPr="00A03749">
        <w:rPr>
          <w:rFonts w:ascii="Palatino Linotype" w:hAnsi="Palatino Linotype" w:cs="Arial"/>
          <w:sz w:val="24"/>
          <w:szCs w:val="24"/>
        </w:rPr>
        <w:lastRenderedPageBreak/>
        <w:t xml:space="preserve">de revisión promovido en contra de la respuesta del </w:t>
      </w:r>
      <w:r w:rsidRPr="00A03749">
        <w:rPr>
          <w:rFonts w:ascii="Palatino Linotype" w:eastAsia="Times New Roman" w:hAnsi="Palatino Linotype" w:cs="Times New Roman"/>
          <w:b/>
          <w:sz w:val="24"/>
          <w:szCs w:val="24"/>
          <w:lang w:eastAsia="es-ES"/>
        </w:rPr>
        <w:t>Ayuntamiento de Tlalnepantla de Baz</w:t>
      </w:r>
      <w:r>
        <w:rPr>
          <w:rFonts w:ascii="Palatino Linotype" w:hAnsi="Palatino Linotype"/>
          <w:b/>
        </w:rPr>
        <w:t>,</w:t>
      </w:r>
      <w:r w:rsidRPr="00A03749">
        <w:rPr>
          <w:rFonts w:ascii="Palatino Linotype" w:hAnsi="Palatino Linotype" w:cs="Arial"/>
          <w:sz w:val="24"/>
          <w:szCs w:val="24"/>
        </w:rPr>
        <w:t xml:space="preserve"> procedimiento al que se le asignó el número de expediente </w:t>
      </w:r>
      <w:r w:rsidR="009B5D1C">
        <w:rPr>
          <w:rFonts w:ascii="Palatino Linotype" w:hAnsi="Palatino Linotype"/>
          <w:b/>
          <w:sz w:val="24"/>
          <w:szCs w:val="24"/>
        </w:rPr>
        <w:t>04817</w:t>
      </w:r>
      <w:r w:rsidRPr="00A03749">
        <w:rPr>
          <w:rFonts w:ascii="Palatino Linotype" w:hAnsi="Palatino Linotype"/>
          <w:b/>
          <w:sz w:val="24"/>
          <w:szCs w:val="24"/>
        </w:rPr>
        <w:t>/INFOEM/IP/RR/2018</w:t>
      </w:r>
      <w:r w:rsidR="009B5D1C">
        <w:rPr>
          <w:rFonts w:ascii="Palatino Linotype" w:hAnsi="Palatino Linotype"/>
          <w:b/>
          <w:sz w:val="24"/>
          <w:szCs w:val="24"/>
        </w:rPr>
        <w:t xml:space="preserve"> y 04819</w:t>
      </w:r>
      <w:r w:rsidR="009B5D1C" w:rsidRPr="00A03749">
        <w:rPr>
          <w:rFonts w:ascii="Palatino Linotype" w:hAnsi="Palatino Linotype"/>
          <w:b/>
          <w:sz w:val="24"/>
          <w:szCs w:val="24"/>
        </w:rPr>
        <w:t>/INFOEM/IP/RR/2018</w:t>
      </w:r>
      <w:r w:rsidRPr="00A03749">
        <w:rPr>
          <w:rFonts w:ascii="Palatino Linotype" w:hAnsi="Palatino Linotype" w:cs="Arial"/>
          <w:b/>
          <w:sz w:val="24"/>
          <w:szCs w:val="24"/>
        </w:rPr>
        <w:t>.</w:t>
      </w:r>
    </w:p>
    <w:p w:rsidR="00A03749" w:rsidRPr="00A03749" w:rsidRDefault="00A03749" w:rsidP="004E1411">
      <w:pPr>
        <w:tabs>
          <w:tab w:val="left" w:pos="142"/>
        </w:tabs>
        <w:spacing w:after="0" w:line="360" w:lineRule="auto"/>
        <w:contextualSpacing/>
        <w:jc w:val="both"/>
        <w:rPr>
          <w:rFonts w:ascii="Palatino Linotype" w:hAnsi="Palatino Linotype" w:cs="Arial"/>
          <w:b/>
          <w:sz w:val="24"/>
          <w:szCs w:val="24"/>
        </w:rPr>
      </w:pPr>
    </w:p>
    <w:p w:rsidR="00A03749" w:rsidRPr="004E1411" w:rsidRDefault="00A03749" w:rsidP="004E1411">
      <w:pPr>
        <w:numPr>
          <w:ilvl w:val="0"/>
          <w:numId w:val="1"/>
        </w:numPr>
        <w:tabs>
          <w:tab w:val="left" w:pos="142"/>
        </w:tabs>
        <w:spacing w:after="0" w:line="360" w:lineRule="auto"/>
        <w:ind w:left="0" w:right="49" w:firstLine="0"/>
        <w:contextualSpacing/>
        <w:jc w:val="both"/>
        <w:rPr>
          <w:rFonts w:ascii="Palatino Linotype" w:hAnsi="Palatino Linotype" w:cs="Arial"/>
          <w:b/>
          <w:sz w:val="24"/>
          <w:szCs w:val="24"/>
        </w:rPr>
      </w:pPr>
      <w:r w:rsidRPr="004E1411">
        <w:rPr>
          <w:rFonts w:ascii="Palatino Linotype" w:hAnsi="Palatino Linotype" w:cs="Arial"/>
          <w:sz w:val="24"/>
          <w:szCs w:val="24"/>
        </w:rPr>
        <w:t xml:space="preserve">La resolución puntualmente determina </w:t>
      </w:r>
      <w:r w:rsidR="009B5D1C" w:rsidRPr="004E1411">
        <w:rPr>
          <w:rFonts w:ascii="Palatino Linotype" w:hAnsi="Palatino Linotype" w:cs="Arial"/>
          <w:b/>
          <w:sz w:val="24"/>
          <w:szCs w:val="24"/>
        </w:rPr>
        <w:t>SOBRESEER</w:t>
      </w:r>
      <w:r w:rsidR="009B5D1C" w:rsidRPr="004E1411">
        <w:rPr>
          <w:rFonts w:ascii="Palatino Linotype" w:hAnsi="Palatino Linotype" w:cs="Arial"/>
          <w:sz w:val="24"/>
          <w:szCs w:val="24"/>
        </w:rPr>
        <w:t xml:space="preserve"> la respuesta de la solicitud </w:t>
      </w:r>
      <w:r w:rsidR="009B5D1C" w:rsidRPr="004E1411">
        <w:rPr>
          <w:rFonts w:ascii="Palatino Linotype" w:hAnsi="Palatino Linotype" w:cs="Arial"/>
          <w:b/>
          <w:bCs/>
        </w:rPr>
        <w:t xml:space="preserve">00755/TLALNEPA/IP/2018 y </w:t>
      </w:r>
      <w:r w:rsidRPr="004E1411">
        <w:rPr>
          <w:rFonts w:ascii="Palatino Linotype" w:hAnsi="Palatino Linotype" w:cs="Arial"/>
          <w:b/>
          <w:sz w:val="24"/>
          <w:szCs w:val="24"/>
        </w:rPr>
        <w:t xml:space="preserve">REVOCAR </w:t>
      </w:r>
      <w:r w:rsidRPr="004E1411">
        <w:rPr>
          <w:rFonts w:ascii="Palatino Linotype" w:hAnsi="Palatino Linotype" w:cs="Arial"/>
          <w:sz w:val="24"/>
          <w:szCs w:val="24"/>
        </w:rPr>
        <w:t xml:space="preserve">la respuesta </w:t>
      </w:r>
      <w:r w:rsidR="009B5D1C" w:rsidRPr="004E1411">
        <w:rPr>
          <w:rFonts w:ascii="Palatino Linotype" w:hAnsi="Palatino Linotype" w:cs="Arial"/>
          <w:sz w:val="24"/>
          <w:szCs w:val="24"/>
        </w:rPr>
        <w:t xml:space="preserve">de la solicitud </w:t>
      </w:r>
      <w:r w:rsidR="009B5D1C" w:rsidRPr="004E1411">
        <w:rPr>
          <w:rFonts w:ascii="Palatino Linotype" w:hAnsi="Palatino Linotype" w:cs="Arial"/>
          <w:b/>
          <w:bCs/>
        </w:rPr>
        <w:t>00756/TLALNEPA/IP/2018</w:t>
      </w:r>
      <w:r w:rsidR="004E1411" w:rsidRPr="004E1411">
        <w:rPr>
          <w:rFonts w:ascii="Palatino Linotype" w:hAnsi="Palatino Linotype" w:cs="Arial"/>
          <w:b/>
          <w:bCs/>
        </w:rPr>
        <w:t>,</w:t>
      </w:r>
      <w:r w:rsidR="004E1411">
        <w:rPr>
          <w:rFonts w:ascii="Palatino Linotype" w:hAnsi="Palatino Linotype" w:cs="Arial"/>
          <w:b/>
          <w:bCs/>
        </w:rPr>
        <w:t xml:space="preserve"> </w:t>
      </w:r>
      <w:r w:rsidR="004E1411" w:rsidRPr="004E1411">
        <w:rPr>
          <w:rFonts w:ascii="Palatino Linotype" w:hAnsi="Palatino Linotype" w:cs="Arial"/>
          <w:bCs/>
        </w:rPr>
        <w:t>emitidas por el</w:t>
      </w:r>
      <w:r w:rsidRPr="004E1411">
        <w:rPr>
          <w:rFonts w:ascii="Palatino Linotype" w:hAnsi="Palatino Linotype" w:cs="Arial"/>
          <w:sz w:val="24"/>
          <w:szCs w:val="24"/>
        </w:rPr>
        <w:t xml:space="preserve"> Sujeto Obligado y ORDENAR entregar la siguiente información:</w:t>
      </w:r>
    </w:p>
    <w:p w:rsidR="00A03749" w:rsidRPr="00A03749" w:rsidRDefault="00A03749" w:rsidP="004E1411">
      <w:pPr>
        <w:tabs>
          <w:tab w:val="left" w:pos="142"/>
        </w:tabs>
        <w:contextualSpacing/>
        <w:rPr>
          <w:rFonts w:ascii="Palatino Linotype" w:hAnsi="Palatino Linotype" w:cs="Arial"/>
          <w:sz w:val="24"/>
          <w:szCs w:val="24"/>
        </w:rPr>
      </w:pPr>
    </w:p>
    <w:p w:rsidR="004E1411" w:rsidRDefault="004E1411" w:rsidP="004E1411">
      <w:pPr>
        <w:widowControl w:val="0"/>
        <w:tabs>
          <w:tab w:val="left" w:pos="142"/>
        </w:tabs>
        <w:autoSpaceDE w:val="0"/>
        <w:autoSpaceDN w:val="0"/>
        <w:adjustRightInd w:val="0"/>
        <w:spacing w:after="0" w:line="240" w:lineRule="auto"/>
        <w:ind w:right="899"/>
        <w:contextualSpacing/>
        <w:jc w:val="both"/>
        <w:rPr>
          <w:rFonts w:ascii="Palatino Linotype" w:eastAsia="Times New Roman" w:hAnsi="Palatino Linotype" w:cs="Times New Roman"/>
          <w:i/>
          <w:iCs/>
          <w:color w:val="222222"/>
          <w:shd w:val="clear" w:color="auto" w:fill="FFFFFF"/>
          <w:lang w:eastAsia="es-ES"/>
        </w:rPr>
      </w:pPr>
    </w:p>
    <w:p w:rsidR="00A03749" w:rsidRPr="00A03749" w:rsidRDefault="004E1411" w:rsidP="004E1411">
      <w:pPr>
        <w:widowControl w:val="0"/>
        <w:tabs>
          <w:tab w:val="left" w:pos="142"/>
          <w:tab w:val="left" w:pos="7655"/>
        </w:tabs>
        <w:autoSpaceDE w:val="0"/>
        <w:autoSpaceDN w:val="0"/>
        <w:adjustRightInd w:val="0"/>
        <w:spacing w:after="0" w:line="240" w:lineRule="auto"/>
        <w:ind w:left="567" w:right="616"/>
        <w:contextualSpacing/>
        <w:jc w:val="both"/>
        <w:rPr>
          <w:rFonts w:ascii="Palatino Linotype" w:eastAsia="Arial Unicode MS" w:hAnsi="Palatino Linotype" w:cs="Arial"/>
          <w:i/>
          <w:lang w:eastAsia="es-ES"/>
        </w:rPr>
      </w:pPr>
      <w:r>
        <w:rPr>
          <w:rFonts w:ascii="Palatino Linotype" w:eastAsia="Times New Roman" w:hAnsi="Palatino Linotype" w:cs="Times New Roman"/>
          <w:i/>
          <w:iCs/>
          <w:color w:val="222222"/>
          <w:shd w:val="clear" w:color="auto" w:fill="FFFFFF"/>
          <w:lang w:eastAsia="es-ES"/>
        </w:rPr>
        <w:t>“</w:t>
      </w:r>
      <w:r w:rsidR="00A03749" w:rsidRPr="00A03749">
        <w:rPr>
          <w:rFonts w:ascii="Palatino Linotype" w:eastAsia="Times New Roman" w:hAnsi="Palatino Linotype" w:cs="Times New Roman"/>
          <w:i/>
          <w:iCs/>
          <w:color w:val="222222"/>
          <w:shd w:val="clear" w:color="auto" w:fill="FFFFFF"/>
          <w:lang w:eastAsia="es-ES"/>
        </w:rPr>
        <w:t>El Acuerdo de Clasificación que apruebe el Comité de Transparencia, en el que funde y motive la clasificación de las medidas precautorias pertinentes necesarias para evitar que los habitantes del conjunto habitacional referido en la solicitud, y sus bienes, así como al entorno ambiental, se colocaran en una situación de riesgo, al no existir aún una definición respecto de las distancias mínimas que tienen que existir, implementadas por el Municipio de Tlalnepantla, como reservada, en términos de los artículos conforme a los artículos 49 fracción VIII, 129, 140 y 141 de la Ley de Transparencia y Acceso a la Información Pública del Estado de México y Municipios.</w:t>
      </w:r>
      <w:r w:rsidR="00A03749" w:rsidRPr="00A03749">
        <w:rPr>
          <w:rFonts w:ascii="Palatino Linotype" w:eastAsia="Arial Unicode MS" w:hAnsi="Palatino Linotype" w:cs="Arial"/>
          <w:i/>
          <w:lang w:eastAsia="es-ES"/>
        </w:rPr>
        <w:t>”</w:t>
      </w:r>
    </w:p>
    <w:p w:rsidR="00A03749" w:rsidRPr="00A03749" w:rsidRDefault="00A03749" w:rsidP="004E1411">
      <w:pPr>
        <w:tabs>
          <w:tab w:val="left" w:pos="142"/>
        </w:tabs>
        <w:autoSpaceDE w:val="0"/>
        <w:autoSpaceDN w:val="0"/>
        <w:adjustRightInd w:val="0"/>
        <w:spacing w:after="0" w:line="360" w:lineRule="auto"/>
        <w:ind w:right="49"/>
        <w:jc w:val="both"/>
        <w:rPr>
          <w:rFonts w:ascii="Palatino Linotype" w:eastAsia="Calibri" w:hAnsi="Palatino Linotype" w:cs="Arial"/>
          <w:i/>
        </w:rPr>
      </w:pPr>
    </w:p>
    <w:p w:rsidR="00A03749" w:rsidRPr="004E1411" w:rsidRDefault="00A03749" w:rsidP="004E1411">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A03749">
        <w:rPr>
          <w:rFonts w:ascii="Palatino Linotype" w:hAnsi="Palatino Linotype" w:cs="Arial"/>
          <w:sz w:val="24"/>
          <w:szCs w:val="24"/>
        </w:rPr>
        <w:t xml:space="preserve">Mi voto particular </w:t>
      </w:r>
      <w:r w:rsidR="004E1411">
        <w:rPr>
          <w:rFonts w:ascii="Palatino Linotype" w:hAnsi="Palatino Linotype" w:cs="Arial"/>
          <w:sz w:val="24"/>
          <w:szCs w:val="24"/>
        </w:rPr>
        <w:t xml:space="preserve">va enfocado al recurso de revisión </w:t>
      </w:r>
      <w:r w:rsidR="004E1411">
        <w:rPr>
          <w:rFonts w:ascii="Palatino Linotype" w:hAnsi="Palatino Linotype"/>
          <w:b/>
          <w:sz w:val="24"/>
          <w:szCs w:val="24"/>
        </w:rPr>
        <w:t>04819</w:t>
      </w:r>
      <w:r w:rsidR="004E1411" w:rsidRPr="00A03749">
        <w:rPr>
          <w:rFonts w:ascii="Palatino Linotype" w:hAnsi="Palatino Linotype"/>
          <w:b/>
          <w:sz w:val="24"/>
          <w:szCs w:val="24"/>
        </w:rPr>
        <w:t>/INFOEM/IP/RR/2018</w:t>
      </w:r>
      <w:r w:rsidR="004E1411">
        <w:rPr>
          <w:rFonts w:ascii="Palatino Linotype" w:hAnsi="Palatino Linotype" w:cs="Arial"/>
          <w:sz w:val="24"/>
          <w:szCs w:val="24"/>
        </w:rPr>
        <w:t>, mismo que</w:t>
      </w:r>
      <w:r w:rsidR="004E1411" w:rsidRPr="004E1411">
        <w:rPr>
          <w:rFonts w:ascii="Palatino Linotype" w:hAnsi="Palatino Linotype" w:cs="Arial"/>
          <w:sz w:val="24"/>
          <w:szCs w:val="24"/>
        </w:rPr>
        <w:t xml:space="preserve"> </w:t>
      </w:r>
      <w:r w:rsidRPr="004E1411">
        <w:rPr>
          <w:rFonts w:ascii="Palatino Linotype" w:hAnsi="Palatino Linotype" w:cs="Arial"/>
          <w:sz w:val="24"/>
          <w:szCs w:val="24"/>
        </w:rPr>
        <w:t>se deriva del hecho de que se haya ordenado</w:t>
      </w:r>
      <w:r w:rsidR="00BE06EA" w:rsidRPr="004E1411">
        <w:rPr>
          <w:rFonts w:ascii="Palatino Linotype" w:hAnsi="Palatino Linotype" w:cs="Arial"/>
          <w:sz w:val="24"/>
          <w:szCs w:val="24"/>
        </w:rPr>
        <w:t xml:space="preserve"> procedente</w:t>
      </w:r>
      <w:r w:rsidRPr="004E1411">
        <w:rPr>
          <w:rFonts w:ascii="Palatino Linotype" w:hAnsi="Palatino Linotype" w:cs="Arial"/>
          <w:sz w:val="24"/>
          <w:szCs w:val="24"/>
        </w:rPr>
        <w:t xml:space="preserve"> </w:t>
      </w:r>
      <w:r w:rsidR="00BE06EA" w:rsidRPr="004E1411">
        <w:rPr>
          <w:rFonts w:ascii="Palatino Linotype" w:hAnsi="Palatino Linotype" w:cs="Arial"/>
          <w:sz w:val="24"/>
          <w:szCs w:val="24"/>
        </w:rPr>
        <w:t xml:space="preserve">la reserva de la información correspondiente a las medidas precautorias pertinentes necesarias para evitar que los habitantes del conjunto habitacional referido en la solicitud, y sus bienes, así como al entorno ambiental, se colocaran en una situación de riesgo, al no existir aún una definición respecto de las </w:t>
      </w:r>
      <w:r w:rsidR="00BE06EA" w:rsidRPr="004E1411">
        <w:rPr>
          <w:rFonts w:ascii="Palatino Linotype" w:hAnsi="Palatino Linotype" w:cs="Arial"/>
          <w:sz w:val="24"/>
          <w:szCs w:val="24"/>
        </w:rPr>
        <w:lastRenderedPageBreak/>
        <w:t>distancias mínimas que tienen que existir, implementadas por el Municipio de Tlalnepantla.</w:t>
      </w:r>
    </w:p>
    <w:p w:rsidR="00BE06EA" w:rsidRPr="00A03749" w:rsidRDefault="00BE06EA" w:rsidP="004E1411">
      <w:pPr>
        <w:tabs>
          <w:tab w:val="left" w:pos="142"/>
        </w:tabs>
        <w:spacing w:after="0" w:line="360" w:lineRule="auto"/>
        <w:contextualSpacing/>
        <w:jc w:val="both"/>
        <w:rPr>
          <w:rFonts w:ascii="Palatino Linotype" w:hAnsi="Palatino Linotype" w:cs="Arial"/>
          <w:sz w:val="24"/>
          <w:szCs w:val="24"/>
        </w:rPr>
      </w:pPr>
    </w:p>
    <w:p w:rsidR="00A03749" w:rsidRPr="00A03749" w:rsidRDefault="00A03749" w:rsidP="004E1411">
      <w:pPr>
        <w:numPr>
          <w:ilvl w:val="0"/>
          <w:numId w:val="1"/>
        </w:numPr>
        <w:tabs>
          <w:tab w:val="left" w:pos="142"/>
        </w:tabs>
        <w:spacing w:before="240" w:after="240" w:line="360" w:lineRule="auto"/>
        <w:ind w:left="0" w:firstLine="0"/>
        <w:contextualSpacing/>
        <w:jc w:val="both"/>
        <w:rPr>
          <w:rFonts w:ascii="Palatino Linotype" w:hAnsi="Palatino Linotype" w:cs="Arial"/>
          <w:sz w:val="24"/>
          <w:szCs w:val="24"/>
        </w:rPr>
      </w:pPr>
      <w:r w:rsidRPr="00A03749">
        <w:rPr>
          <w:rFonts w:ascii="Palatino Linotype" w:hAnsi="Palatino Linotype" w:cs="Arial"/>
          <w:sz w:val="24"/>
          <w:szCs w:val="24"/>
        </w:rPr>
        <w:t>Por tal motivo y en términos de lo señalado por el artículo 14 fracción XI del Reglamento Interior del Instituto de Transparencia y Acceso a la Información Pública del Estado de México y Municipios formulo la presente voto particular.</w:t>
      </w:r>
    </w:p>
    <w:p w:rsidR="00A03749" w:rsidRPr="00A03749" w:rsidRDefault="00A03749" w:rsidP="004E1411">
      <w:pPr>
        <w:tabs>
          <w:tab w:val="left" w:pos="142"/>
        </w:tabs>
        <w:contextualSpacing/>
        <w:rPr>
          <w:rFonts w:ascii="Palatino Linotype" w:hAnsi="Palatino Linotype" w:cs="Arial"/>
          <w:sz w:val="24"/>
          <w:szCs w:val="24"/>
        </w:rPr>
      </w:pPr>
    </w:p>
    <w:p w:rsidR="00A03749" w:rsidRPr="00A03749" w:rsidRDefault="00A03749" w:rsidP="004E1411">
      <w:pPr>
        <w:keepNext/>
        <w:keepLines/>
        <w:numPr>
          <w:ilvl w:val="0"/>
          <w:numId w:val="2"/>
        </w:numPr>
        <w:tabs>
          <w:tab w:val="left" w:pos="142"/>
        </w:tabs>
        <w:spacing w:before="240" w:after="0"/>
        <w:ind w:left="0" w:firstLine="0"/>
        <w:outlineLvl w:val="0"/>
        <w:rPr>
          <w:rFonts w:ascii="Palatino Linotype" w:eastAsiaTheme="majorEastAsia" w:hAnsi="Palatino Linotype" w:cstheme="majorBidi"/>
          <w:b/>
          <w:sz w:val="24"/>
          <w:szCs w:val="32"/>
        </w:rPr>
      </w:pPr>
      <w:bookmarkStart w:id="2" w:name="_Toc3895615"/>
      <w:r w:rsidRPr="00A03749">
        <w:rPr>
          <w:rFonts w:ascii="Palatino Linotype" w:eastAsiaTheme="majorEastAsia" w:hAnsi="Palatino Linotype" w:cstheme="majorBidi"/>
          <w:b/>
          <w:sz w:val="24"/>
          <w:szCs w:val="32"/>
        </w:rPr>
        <w:t>De los requerimientos planteados.</w:t>
      </w:r>
      <w:bookmarkEnd w:id="2"/>
    </w:p>
    <w:p w:rsidR="00A03749" w:rsidRPr="00A03749" w:rsidRDefault="00A03749" w:rsidP="004E1411">
      <w:pPr>
        <w:tabs>
          <w:tab w:val="left" w:pos="142"/>
        </w:tabs>
        <w:spacing w:before="240" w:after="240" w:line="360" w:lineRule="auto"/>
        <w:contextualSpacing/>
        <w:jc w:val="both"/>
        <w:rPr>
          <w:rFonts w:ascii="Palatino Linotype" w:hAnsi="Palatino Linotype" w:cs="Arial"/>
          <w:sz w:val="24"/>
          <w:szCs w:val="24"/>
        </w:rPr>
      </w:pPr>
    </w:p>
    <w:p w:rsidR="00BE06EA" w:rsidRDefault="00A03749" w:rsidP="004E1411">
      <w:pPr>
        <w:numPr>
          <w:ilvl w:val="0"/>
          <w:numId w:val="1"/>
        </w:numPr>
        <w:tabs>
          <w:tab w:val="left" w:pos="142"/>
        </w:tabs>
        <w:spacing w:before="240" w:after="240" w:line="360" w:lineRule="auto"/>
        <w:ind w:left="0" w:firstLine="0"/>
        <w:contextualSpacing/>
        <w:jc w:val="both"/>
        <w:rPr>
          <w:rFonts w:ascii="Palatino Linotype" w:hAnsi="Palatino Linotype" w:cs="Arial"/>
          <w:sz w:val="24"/>
          <w:szCs w:val="24"/>
        </w:rPr>
      </w:pPr>
      <w:r w:rsidRPr="00A03749">
        <w:rPr>
          <w:rFonts w:ascii="Palatino Linotype" w:hAnsi="Palatino Linotype" w:cs="Arial"/>
          <w:sz w:val="24"/>
          <w:szCs w:val="24"/>
        </w:rPr>
        <w:t xml:space="preserve">Se solicitó al Sujeto Obligado </w:t>
      </w:r>
      <w:r w:rsidR="00BE06EA">
        <w:rPr>
          <w:rFonts w:ascii="Palatino Linotype" w:hAnsi="Palatino Linotype" w:cs="Arial"/>
          <w:sz w:val="24"/>
          <w:szCs w:val="24"/>
        </w:rPr>
        <w:t xml:space="preserve">información correspondiente al </w:t>
      </w:r>
      <w:r w:rsidR="00BE06EA" w:rsidRPr="00BE06EA">
        <w:rPr>
          <w:rFonts w:ascii="Palatino Linotype" w:hAnsi="Palatino Linotype" w:cs="Arial"/>
          <w:sz w:val="24"/>
          <w:szCs w:val="24"/>
        </w:rPr>
        <w:t xml:space="preserve">expediente que contenga la información pública de las medidas precautorias pertinentes necesarias implementadas por las dependencias municipales tales como protección civil, seguridad pública, desarrollo urbano, medio ambiente, etc., para evitar que los habitantes del conjunto habitacional </w:t>
      </w:r>
      <w:r w:rsidR="009A23FC" w:rsidRPr="009A23FC">
        <w:rPr>
          <w:rFonts w:ascii="Palatino Linotype" w:hAnsi="Palatino Linotype" w:cs="Arial"/>
          <w:sz w:val="24"/>
          <w:szCs w:val="24"/>
        </w:rPr>
        <w:t>(el conjunto habitacional es el denominado anteriormente como Ángeles de San José y al día de hoy “Hacienda de San José” ubicado en el municipio de Tlalnepantla, Mex)</w:t>
      </w:r>
      <w:r w:rsidR="009A23FC">
        <w:rPr>
          <w:rFonts w:ascii="Palatino Linotype" w:hAnsi="Palatino Linotype" w:cs="Arial"/>
          <w:sz w:val="24"/>
          <w:szCs w:val="24"/>
        </w:rPr>
        <w:t xml:space="preserve">, sus bienes, </w:t>
      </w:r>
      <w:r w:rsidR="00BE06EA" w:rsidRPr="00BE06EA">
        <w:rPr>
          <w:rFonts w:ascii="Palatino Linotype" w:hAnsi="Palatino Linotype" w:cs="Arial"/>
          <w:sz w:val="24"/>
          <w:szCs w:val="24"/>
        </w:rPr>
        <w:t>así como al entorno ambiental, se coloquen en una situación de riesgo</w:t>
      </w:r>
      <w:r w:rsidR="00BE06EA">
        <w:rPr>
          <w:rFonts w:ascii="Palatino Linotype" w:hAnsi="Palatino Linotype" w:cs="Arial"/>
          <w:sz w:val="24"/>
          <w:szCs w:val="24"/>
        </w:rPr>
        <w:t>.</w:t>
      </w:r>
    </w:p>
    <w:p w:rsidR="00A03749" w:rsidRPr="00A03749" w:rsidRDefault="00A03749" w:rsidP="004E1411">
      <w:pPr>
        <w:tabs>
          <w:tab w:val="left" w:pos="142"/>
        </w:tabs>
        <w:spacing w:before="240" w:after="240" w:line="360" w:lineRule="auto"/>
        <w:contextualSpacing/>
        <w:jc w:val="both"/>
        <w:rPr>
          <w:rFonts w:ascii="Palatino Linotype" w:hAnsi="Palatino Linotype" w:cs="Arial"/>
          <w:sz w:val="24"/>
          <w:szCs w:val="24"/>
        </w:rPr>
      </w:pPr>
    </w:p>
    <w:p w:rsidR="009A23FC" w:rsidRPr="00850000" w:rsidRDefault="00A03749" w:rsidP="004E1411">
      <w:pPr>
        <w:numPr>
          <w:ilvl w:val="0"/>
          <w:numId w:val="1"/>
        </w:numPr>
        <w:tabs>
          <w:tab w:val="left" w:pos="142"/>
        </w:tabs>
        <w:spacing w:before="240" w:after="240" w:line="360" w:lineRule="auto"/>
        <w:ind w:left="0" w:firstLine="0"/>
        <w:contextualSpacing/>
        <w:jc w:val="both"/>
        <w:rPr>
          <w:rFonts w:ascii="Palatino Linotype" w:hAnsi="Palatino Linotype" w:cs="Arial"/>
          <w:sz w:val="24"/>
          <w:szCs w:val="24"/>
        </w:rPr>
      </w:pPr>
      <w:r w:rsidRPr="00A03749">
        <w:rPr>
          <w:rFonts w:ascii="Palatino Linotype" w:hAnsi="Palatino Linotype" w:cs="Arial"/>
          <w:sz w:val="24"/>
          <w:szCs w:val="24"/>
        </w:rPr>
        <w:t>En respuesta se hizo de conocimiento a</w:t>
      </w:r>
      <w:r w:rsidR="009A23FC" w:rsidRPr="009A23FC">
        <w:rPr>
          <w:rFonts w:ascii="Palatino Linotype" w:hAnsi="Palatino Linotype" w:cs="Arial"/>
          <w:sz w:val="24"/>
          <w:szCs w:val="24"/>
        </w:rPr>
        <w:t xml:space="preserve">l particular que mediante acuerdo número 0091/CT/2016/2018 emitido por el Comité de Transparencia la información </w:t>
      </w:r>
      <w:r w:rsidRPr="00A03749">
        <w:rPr>
          <w:rFonts w:ascii="Palatino Linotype" w:hAnsi="Palatino Linotype" w:cs="Arial"/>
          <w:sz w:val="24"/>
          <w:szCs w:val="24"/>
        </w:rPr>
        <w:t xml:space="preserve">se </w:t>
      </w:r>
      <w:r w:rsidR="009A23FC" w:rsidRPr="009A23FC">
        <w:rPr>
          <w:rFonts w:ascii="Palatino Linotype" w:hAnsi="Palatino Linotype" w:cs="Arial"/>
          <w:sz w:val="24"/>
          <w:szCs w:val="24"/>
        </w:rPr>
        <w:t xml:space="preserve">clasificaba como reservada por un periodo de sietes años; el Director </w:t>
      </w:r>
      <w:r w:rsidR="009A23FC" w:rsidRPr="009A23FC">
        <w:rPr>
          <w:rFonts w:ascii="Palatino Linotype" w:eastAsia="Times New Roman" w:hAnsi="Palatino Linotype" w:cs="Times New Roman"/>
          <w:sz w:val="24"/>
          <w:szCs w:val="24"/>
          <w:lang w:eastAsia="es-ES"/>
        </w:rPr>
        <w:t xml:space="preserve">General de Desarrollo Urbano informó que  la información solicitada se encuentra dentro de un </w:t>
      </w:r>
      <w:r w:rsidR="009A23FC" w:rsidRPr="009A23FC">
        <w:rPr>
          <w:rFonts w:ascii="Palatino Linotype" w:eastAsia="Times New Roman" w:hAnsi="Palatino Linotype" w:cs="Times New Roman"/>
          <w:sz w:val="24"/>
          <w:szCs w:val="24"/>
          <w:lang w:eastAsia="es-ES"/>
        </w:rPr>
        <w:lastRenderedPageBreak/>
        <w:t>procedimiento judicial</w:t>
      </w:r>
      <w:r w:rsidR="009A23FC">
        <w:rPr>
          <w:rFonts w:ascii="Palatino Linotype" w:eastAsia="Times New Roman" w:hAnsi="Palatino Linotype" w:cs="Times New Roman"/>
          <w:sz w:val="24"/>
          <w:szCs w:val="24"/>
          <w:lang w:eastAsia="es-ES"/>
        </w:rPr>
        <w:t>; el Coordinador de Protección Civil refirió que</w:t>
      </w:r>
      <w:r w:rsidR="009A23FC" w:rsidRPr="009A23FC">
        <w:rPr>
          <w:rFonts w:ascii="Palatino Linotype" w:eastAsia="Times New Roman" w:hAnsi="Palatino Linotype" w:cs="Times New Roman"/>
          <w:sz w:val="24"/>
          <w:szCs w:val="24"/>
          <w:lang w:eastAsia="es-ES"/>
        </w:rPr>
        <w:t xml:space="preserve"> la información solicitada se deriva de un juicio, cuya a tención y seguimiento corre</w:t>
      </w:r>
      <w:r w:rsidR="009A23FC">
        <w:rPr>
          <w:rFonts w:ascii="Palatino Linotype" w:eastAsia="Times New Roman" w:hAnsi="Palatino Linotype" w:cs="Times New Roman"/>
          <w:sz w:val="24"/>
          <w:szCs w:val="24"/>
          <w:lang w:eastAsia="es-ES"/>
        </w:rPr>
        <w:t xml:space="preserve">sponde a la Consejería Jurídica; </w:t>
      </w:r>
      <w:r w:rsidR="009A23FC" w:rsidRPr="009A23FC">
        <w:rPr>
          <w:rFonts w:ascii="Palatino Linotype" w:eastAsia="Times New Roman" w:hAnsi="Palatino Linotype" w:cs="Times New Roman"/>
          <w:sz w:val="24"/>
          <w:szCs w:val="24"/>
          <w:lang w:eastAsia="es-ES"/>
        </w:rPr>
        <w:t>la Secretaria Técnica y Consejera Jurídica, informa</w:t>
      </w:r>
      <w:r w:rsidR="009A23FC">
        <w:rPr>
          <w:rFonts w:ascii="Palatino Linotype" w:eastAsia="Times New Roman" w:hAnsi="Palatino Linotype" w:cs="Times New Roman"/>
          <w:sz w:val="24"/>
          <w:szCs w:val="24"/>
          <w:lang w:eastAsia="es-ES"/>
        </w:rPr>
        <w:t>ron</w:t>
      </w:r>
      <w:r w:rsidR="009A23FC" w:rsidRPr="009A23FC">
        <w:rPr>
          <w:rFonts w:ascii="Palatino Linotype" w:eastAsia="Times New Roman" w:hAnsi="Palatino Linotype" w:cs="Times New Roman"/>
          <w:sz w:val="24"/>
          <w:szCs w:val="24"/>
          <w:lang w:eastAsia="es-ES"/>
        </w:rPr>
        <w:t xml:space="preserve"> que la información solicitada se encuentra clasificada como reservada</w:t>
      </w:r>
      <w:r w:rsidR="009A23FC">
        <w:rPr>
          <w:rFonts w:ascii="Palatino Linotype" w:eastAsia="Times New Roman" w:hAnsi="Palatino Linotype" w:cs="Times New Roman"/>
          <w:sz w:val="24"/>
          <w:szCs w:val="24"/>
          <w:lang w:eastAsia="es-ES"/>
        </w:rPr>
        <w:t xml:space="preserve">; </w:t>
      </w:r>
      <w:r w:rsidR="009A23FC" w:rsidRPr="009A23FC">
        <w:rPr>
          <w:rFonts w:ascii="Palatino Linotype" w:eastAsia="Times New Roman" w:hAnsi="Palatino Linotype" w:cs="Times New Roman"/>
          <w:sz w:val="24"/>
          <w:szCs w:val="24"/>
          <w:lang w:eastAsia="es-ES"/>
        </w:rPr>
        <w:t xml:space="preserve">el Comisario General de Seguridad Publica, </w:t>
      </w:r>
      <w:r w:rsidR="009A23FC">
        <w:rPr>
          <w:rFonts w:ascii="Palatino Linotype" w:eastAsia="Times New Roman" w:hAnsi="Palatino Linotype" w:cs="Times New Roman"/>
          <w:sz w:val="24"/>
          <w:szCs w:val="24"/>
          <w:lang w:eastAsia="es-ES"/>
        </w:rPr>
        <w:t xml:space="preserve">informó </w:t>
      </w:r>
      <w:r w:rsidR="009A23FC" w:rsidRPr="009A23FC">
        <w:rPr>
          <w:rFonts w:ascii="Palatino Linotype" w:eastAsia="Times New Roman" w:hAnsi="Palatino Linotype" w:cs="Times New Roman"/>
          <w:sz w:val="24"/>
          <w:szCs w:val="24"/>
          <w:lang w:eastAsia="es-ES"/>
        </w:rPr>
        <w:t xml:space="preserve">que no cuenta con </w:t>
      </w:r>
      <w:r w:rsidR="009A23FC">
        <w:rPr>
          <w:rFonts w:ascii="Palatino Linotype" w:eastAsia="Times New Roman" w:hAnsi="Palatino Linotype" w:cs="Times New Roman"/>
          <w:sz w:val="24"/>
          <w:szCs w:val="24"/>
          <w:lang w:eastAsia="es-ES"/>
        </w:rPr>
        <w:t xml:space="preserve">lo solicitado; </w:t>
      </w:r>
      <w:r w:rsidR="00850000" w:rsidRPr="00850000">
        <w:rPr>
          <w:rFonts w:ascii="Palatino Linotype" w:eastAsia="Times New Roman" w:hAnsi="Palatino Linotype" w:cs="Times New Roman"/>
          <w:sz w:val="24"/>
          <w:szCs w:val="24"/>
          <w:lang w:eastAsia="es-ES"/>
        </w:rPr>
        <w:t xml:space="preserve">el Director General del Medio Ambiente, </w:t>
      </w:r>
      <w:r w:rsidR="00850000">
        <w:rPr>
          <w:rFonts w:ascii="Palatino Linotype" w:eastAsia="Times New Roman" w:hAnsi="Palatino Linotype" w:cs="Times New Roman"/>
          <w:sz w:val="24"/>
          <w:szCs w:val="24"/>
          <w:lang w:eastAsia="es-ES"/>
        </w:rPr>
        <w:t>señaló</w:t>
      </w:r>
      <w:r w:rsidR="00850000" w:rsidRPr="00850000">
        <w:rPr>
          <w:rFonts w:ascii="Palatino Linotype" w:eastAsia="Times New Roman" w:hAnsi="Palatino Linotype" w:cs="Times New Roman"/>
          <w:sz w:val="24"/>
          <w:szCs w:val="24"/>
          <w:lang w:eastAsia="es-ES"/>
        </w:rPr>
        <w:t xml:space="preserve"> que no es posible proporcionar la información sol</w:t>
      </w:r>
      <w:r w:rsidR="00850000">
        <w:rPr>
          <w:rFonts w:ascii="Palatino Linotype" w:eastAsia="Times New Roman" w:hAnsi="Palatino Linotype" w:cs="Times New Roman"/>
          <w:sz w:val="24"/>
          <w:szCs w:val="24"/>
          <w:lang w:eastAsia="es-ES"/>
        </w:rPr>
        <w:t>icitada,</w:t>
      </w:r>
      <w:r w:rsidR="00850000" w:rsidRPr="00850000">
        <w:rPr>
          <w:rFonts w:ascii="Palatino Linotype" w:eastAsia="Times New Roman" w:hAnsi="Palatino Linotype" w:cs="Times New Roman"/>
          <w:sz w:val="24"/>
          <w:szCs w:val="24"/>
          <w:lang w:eastAsia="es-ES"/>
        </w:rPr>
        <w:t xml:space="preserve"> toda vez que se encuentra en la Consejería Jurídica</w:t>
      </w:r>
      <w:r w:rsidR="00850000">
        <w:rPr>
          <w:rFonts w:ascii="Palatino Linotype" w:eastAsia="Times New Roman" w:hAnsi="Palatino Linotype" w:cs="Times New Roman"/>
          <w:sz w:val="24"/>
          <w:szCs w:val="24"/>
          <w:lang w:eastAsia="es-ES"/>
        </w:rPr>
        <w:t>.</w:t>
      </w:r>
    </w:p>
    <w:p w:rsidR="00A03749" w:rsidRPr="00A03749" w:rsidRDefault="00A03749" w:rsidP="004E1411">
      <w:pPr>
        <w:tabs>
          <w:tab w:val="left" w:pos="142"/>
        </w:tabs>
        <w:contextualSpacing/>
        <w:rPr>
          <w:rFonts w:ascii="Palatino Linotype" w:hAnsi="Palatino Linotype" w:cs="Arial"/>
          <w:sz w:val="24"/>
          <w:szCs w:val="24"/>
        </w:rPr>
      </w:pPr>
    </w:p>
    <w:p w:rsidR="007631BC" w:rsidRDefault="00A03749" w:rsidP="004E1411">
      <w:pPr>
        <w:numPr>
          <w:ilvl w:val="0"/>
          <w:numId w:val="1"/>
        </w:numPr>
        <w:tabs>
          <w:tab w:val="left" w:pos="142"/>
        </w:tabs>
        <w:spacing w:before="240" w:after="240" w:line="360" w:lineRule="auto"/>
        <w:ind w:left="0" w:firstLine="0"/>
        <w:contextualSpacing/>
        <w:jc w:val="both"/>
        <w:rPr>
          <w:rFonts w:ascii="Palatino Linotype" w:hAnsi="Palatino Linotype" w:cs="Arial"/>
          <w:sz w:val="24"/>
          <w:szCs w:val="24"/>
        </w:rPr>
      </w:pPr>
      <w:r w:rsidRPr="00A03749">
        <w:rPr>
          <w:rFonts w:ascii="Palatino Linotype" w:hAnsi="Palatino Linotype" w:cs="Arial"/>
          <w:sz w:val="24"/>
          <w:szCs w:val="24"/>
        </w:rPr>
        <w:t xml:space="preserve">La parte recurrente se inconformó porque, a su dicho, </w:t>
      </w:r>
      <w:r w:rsidR="007631BC">
        <w:rPr>
          <w:rFonts w:ascii="Palatino Linotype" w:hAnsi="Palatino Linotype" w:cs="Arial"/>
          <w:sz w:val="24"/>
          <w:szCs w:val="24"/>
        </w:rPr>
        <w:t xml:space="preserve">no se sustenta suficientemente la respuesta mediante los oficios por los cuales se pretende justificar, hay desconocimiento u omisión de la responsabilidad en la información requerida. </w:t>
      </w:r>
    </w:p>
    <w:p w:rsidR="00A03749" w:rsidRPr="00A03749" w:rsidRDefault="00A03749" w:rsidP="004E1411">
      <w:pPr>
        <w:tabs>
          <w:tab w:val="left" w:pos="142"/>
        </w:tabs>
        <w:contextualSpacing/>
        <w:rPr>
          <w:rFonts w:ascii="Palatino Linotype" w:hAnsi="Palatino Linotype" w:cs="Arial"/>
          <w:sz w:val="24"/>
          <w:szCs w:val="24"/>
        </w:rPr>
      </w:pPr>
    </w:p>
    <w:p w:rsidR="007631BC" w:rsidRPr="004E1411" w:rsidRDefault="00A03749" w:rsidP="004E1411">
      <w:pPr>
        <w:numPr>
          <w:ilvl w:val="0"/>
          <w:numId w:val="1"/>
        </w:numPr>
        <w:tabs>
          <w:tab w:val="left" w:pos="142"/>
        </w:tabs>
        <w:spacing w:before="240" w:after="240" w:line="360" w:lineRule="auto"/>
        <w:ind w:left="0" w:firstLine="0"/>
        <w:contextualSpacing/>
        <w:jc w:val="both"/>
        <w:rPr>
          <w:rFonts w:ascii="Palatino Linotype" w:hAnsi="Palatino Linotype" w:cs="Arial"/>
          <w:sz w:val="24"/>
          <w:szCs w:val="24"/>
        </w:rPr>
      </w:pPr>
      <w:r w:rsidRPr="00A03749">
        <w:rPr>
          <w:rFonts w:ascii="Palatino Linotype" w:hAnsi="Palatino Linotype" w:cs="Arial"/>
          <w:sz w:val="24"/>
          <w:szCs w:val="24"/>
        </w:rPr>
        <w:t xml:space="preserve">Mediante el informe justificado, el Sujeto Obligado </w:t>
      </w:r>
      <w:r w:rsidR="007631BC" w:rsidRPr="007631BC">
        <w:rPr>
          <w:rFonts w:ascii="Palatino Linotype" w:hAnsi="Palatino Linotype" w:cs="Arial"/>
          <w:sz w:val="24"/>
          <w:szCs w:val="24"/>
        </w:rPr>
        <w:t>no modificó ni revocó su respuesta inicial, por lo que n</w:t>
      </w:r>
      <w:r w:rsidR="007631BC" w:rsidRPr="007631BC">
        <w:rPr>
          <w:rFonts w:ascii="Palatino Linotype" w:eastAsia="Times New Roman" w:hAnsi="Palatino Linotype" w:cs="Arial"/>
          <w:sz w:val="24"/>
          <w:szCs w:val="24"/>
          <w:lang w:eastAsia="es-ES"/>
        </w:rPr>
        <w:t>o se actualizó el supuesto de la fracción III del artículo 185 de la Ley de Transparencia y Acceso a la Información Pública del Estado de México y Municipios.</w:t>
      </w:r>
    </w:p>
    <w:p w:rsidR="004E1411" w:rsidRPr="004E1411" w:rsidRDefault="004E1411" w:rsidP="004E1411">
      <w:pPr>
        <w:keepNext/>
        <w:keepLines/>
        <w:tabs>
          <w:tab w:val="left" w:pos="142"/>
        </w:tabs>
        <w:spacing w:before="240" w:after="0" w:line="360" w:lineRule="auto"/>
        <w:contextualSpacing/>
        <w:jc w:val="both"/>
        <w:outlineLvl w:val="0"/>
        <w:rPr>
          <w:rFonts w:ascii="Palatino Linotype" w:eastAsiaTheme="majorEastAsia" w:hAnsi="Palatino Linotype" w:cs="Arial"/>
          <w:b/>
          <w:sz w:val="24"/>
          <w:szCs w:val="24"/>
        </w:rPr>
      </w:pPr>
      <w:bookmarkStart w:id="3" w:name="_Toc3895616"/>
    </w:p>
    <w:p w:rsidR="00A03749" w:rsidRPr="00A03749" w:rsidRDefault="00A03749" w:rsidP="004E1411">
      <w:pPr>
        <w:keepNext/>
        <w:keepLines/>
        <w:numPr>
          <w:ilvl w:val="0"/>
          <w:numId w:val="2"/>
        </w:numPr>
        <w:tabs>
          <w:tab w:val="left" w:pos="142"/>
        </w:tabs>
        <w:spacing w:before="240" w:after="0" w:line="360" w:lineRule="auto"/>
        <w:ind w:left="0" w:firstLine="0"/>
        <w:contextualSpacing/>
        <w:jc w:val="both"/>
        <w:outlineLvl w:val="0"/>
        <w:rPr>
          <w:rFonts w:ascii="Palatino Linotype" w:eastAsiaTheme="majorEastAsia" w:hAnsi="Palatino Linotype" w:cs="Arial"/>
          <w:b/>
          <w:sz w:val="24"/>
          <w:szCs w:val="24"/>
        </w:rPr>
      </w:pPr>
      <w:r w:rsidRPr="00A03749">
        <w:rPr>
          <w:rFonts w:ascii="Palatino Linotype" w:eastAsiaTheme="majorEastAsia" w:hAnsi="Palatino Linotype" w:cstheme="majorBidi"/>
          <w:b/>
          <w:sz w:val="24"/>
          <w:szCs w:val="24"/>
        </w:rPr>
        <w:t>De la clasificación de la información.</w:t>
      </w:r>
      <w:bookmarkEnd w:id="3"/>
    </w:p>
    <w:p w:rsidR="00A03749" w:rsidRPr="00A03749" w:rsidRDefault="00A03749" w:rsidP="004E1411">
      <w:pPr>
        <w:tabs>
          <w:tab w:val="left" w:pos="142"/>
        </w:tabs>
      </w:pPr>
    </w:p>
    <w:p w:rsidR="00197C5F" w:rsidRPr="00197C5F" w:rsidRDefault="00A03749" w:rsidP="004E1411">
      <w:pPr>
        <w:numPr>
          <w:ilvl w:val="0"/>
          <w:numId w:val="1"/>
        </w:numPr>
        <w:tabs>
          <w:tab w:val="left" w:pos="142"/>
        </w:tabs>
        <w:spacing w:before="240" w:after="240" w:line="360" w:lineRule="auto"/>
        <w:ind w:left="0" w:firstLine="0"/>
        <w:contextualSpacing/>
        <w:jc w:val="both"/>
        <w:rPr>
          <w:rFonts w:ascii="Palatino Linotype" w:hAnsi="Palatino Linotype" w:cs="Arial"/>
          <w:sz w:val="24"/>
          <w:szCs w:val="24"/>
        </w:rPr>
      </w:pPr>
      <w:r w:rsidRPr="00A03749">
        <w:rPr>
          <w:rFonts w:ascii="Palatino Linotype" w:hAnsi="Palatino Linotype" w:cs="Arial"/>
          <w:sz w:val="24"/>
          <w:szCs w:val="24"/>
        </w:rPr>
        <w:t>El Comisionado Ponente en el análisis y estudio del asunto puntualiza que</w:t>
      </w:r>
      <w:r w:rsidR="007E7F39">
        <w:rPr>
          <w:rFonts w:ascii="Palatino Linotype" w:hAnsi="Palatino Linotype" w:cs="Arial"/>
          <w:sz w:val="24"/>
          <w:szCs w:val="24"/>
        </w:rPr>
        <w:t xml:space="preserve"> los servidores públicos habilitados que pudiera conocer de la información en términos del artículo 162 de la Ley en la materia, dieron respuesta a la solicitud en </w:t>
      </w:r>
      <w:r w:rsidR="007E7F39">
        <w:rPr>
          <w:rFonts w:ascii="Palatino Linotype" w:hAnsi="Palatino Linotype" w:cs="Arial"/>
          <w:sz w:val="24"/>
          <w:szCs w:val="24"/>
        </w:rPr>
        <w:lastRenderedPageBreak/>
        <w:t xml:space="preserve">el mismo sentido, </w:t>
      </w:r>
      <w:r w:rsidR="007E7F39" w:rsidRPr="007E7F39">
        <w:rPr>
          <w:rFonts w:ascii="Palatino Linotype" w:eastAsia="Times New Roman" w:hAnsi="Palatino Linotype" w:cs="Arial"/>
          <w:sz w:val="24"/>
          <w:szCs w:val="24"/>
          <w:lang w:eastAsia="es-MX"/>
        </w:rPr>
        <w:t>argumentaron que la información se encontraba inmersa en un proceso judicial el cual se encontraba en trámite por lo que no podían proporcionar lo requerido por el particular</w:t>
      </w:r>
      <w:r w:rsidR="007E7F39">
        <w:rPr>
          <w:rFonts w:ascii="Palatino Linotype" w:eastAsia="Times New Roman" w:hAnsi="Palatino Linotype" w:cs="Arial"/>
          <w:sz w:val="24"/>
          <w:szCs w:val="24"/>
          <w:lang w:eastAsia="es-MX"/>
        </w:rPr>
        <w:t>.</w:t>
      </w:r>
      <w:r w:rsidR="007E7F39">
        <w:rPr>
          <w:rFonts w:ascii="Palatino Linotype" w:hAnsi="Palatino Linotype" w:cs="Arial"/>
          <w:sz w:val="24"/>
          <w:szCs w:val="24"/>
        </w:rPr>
        <w:t xml:space="preserve"> </w:t>
      </w:r>
      <w:r w:rsidR="007E7F39" w:rsidRPr="007E7F39">
        <w:rPr>
          <w:rFonts w:ascii="Palatino Linotype" w:eastAsia="Times New Roman" w:hAnsi="Palatino Linotype" w:cs="Arial"/>
          <w:sz w:val="24"/>
          <w:szCs w:val="24"/>
          <w:lang w:eastAsia="es-MX"/>
        </w:rPr>
        <w:t xml:space="preserve">Asimismo </w:t>
      </w:r>
      <w:r w:rsidR="007E7F39">
        <w:rPr>
          <w:rFonts w:ascii="Palatino Linotype" w:eastAsia="Times New Roman" w:hAnsi="Palatino Linotype" w:cs="Arial"/>
          <w:sz w:val="24"/>
          <w:szCs w:val="24"/>
          <w:lang w:eastAsia="es-MX"/>
        </w:rPr>
        <w:t>se refiere que la reserva de la información fue ratificada por el área de la Consejería Jurídica</w:t>
      </w:r>
      <w:r w:rsidR="00197C5F">
        <w:rPr>
          <w:rFonts w:ascii="Palatino Linotype" w:eastAsia="Times New Roman" w:hAnsi="Palatino Linotype" w:cs="Arial"/>
          <w:sz w:val="24"/>
          <w:szCs w:val="24"/>
          <w:lang w:eastAsia="es-MX"/>
        </w:rPr>
        <w:t>.</w:t>
      </w:r>
    </w:p>
    <w:p w:rsidR="00197C5F" w:rsidRPr="00197C5F" w:rsidRDefault="00197C5F" w:rsidP="004E1411">
      <w:pPr>
        <w:tabs>
          <w:tab w:val="left" w:pos="142"/>
        </w:tabs>
        <w:spacing w:before="240" w:after="240" w:line="360" w:lineRule="auto"/>
        <w:contextualSpacing/>
        <w:jc w:val="both"/>
        <w:rPr>
          <w:rFonts w:ascii="Palatino Linotype" w:hAnsi="Palatino Linotype" w:cs="Arial"/>
          <w:sz w:val="24"/>
          <w:szCs w:val="24"/>
        </w:rPr>
      </w:pPr>
    </w:p>
    <w:p w:rsidR="00197C5F" w:rsidRDefault="00197C5F" w:rsidP="004E1411">
      <w:pPr>
        <w:numPr>
          <w:ilvl w:val="0"/>
          <w:numId w:val="1"/>
        </w:numPr>
        <w:tabs>
          <w:tab w:val="left" w:pos="142"/>
        </w:tabs>
        <w:spacing w:before="240" w:after="240" w:line="360" w:lineRule="auto"/>
        <w:ind w:left="0" w:firstLine="0"/>
        <w:contextualSpacing/>
        <w:jc w:val="both"/>
        <w:rPr>
          <w:rFonts w:ascii="Palatino Linotype" w:hAnsi="Palatino Linotype" w:cs="Arial"/>
          <w:sz w:val="24"/>
          <w:szCs w:val="24"/>
        </w:rPr>
      </w:pPr>
      <w:r w:rsidRPr="00197C5F">
        <w:rPr>
          <w:rFonts w:ascii="Palatino Linotype" w:hAnsi="Palatino Linotype" w:cs="Arial"/>
          <w:sz w:val="24"/>
          <w:szCs w:val="24"/>
          <w:lang w:eastAsia="es-MX"/>
        </w:rPr>
        <w:t xml:space="preserve">En el mismo sentido que </w:t>
      </w:r>
      <w:r>
        <w:rPr>
          <w:rFonts w:ascii="Palatino Linotype" w:hAnsi="Palatino Linotype" w:cs="Arial"/>
          <w:sz w:val="24"/>
          <w:szCs w:val="24"/>
          <w:lang w:eastAsia="es-MX"/>
        </w:rPr>
        <w:t>el</w:t>
      </w:r>
      <w:r w:rsidRPr="00197C5F">
        <w:rPr>
          <w:rFonts w:ascii="Palatino Linotype" w:hAnsi="Palatino Linotype" w:cs="Arial"/>
          <w:sz w:val="24"/>
          <w:szCs w:val="24"/>
          <w:lang w:eastAsia="es-MX"/>
        </w:rPr>
        <w:t xml:space="preserve"> Sujeto Obligado ratificó que la información que se solicitó se encuentra dentro de un proceso judicial y que está en trámite, para lo cual, anexó el Acta del Comité de Transparencia que avala dicha clasificación.</w:t>
      </w:r>
    </w:p>
    <w:p w:rsidR="002E1910" w:rsidRDefault="002E1910" w:rsidP="004E1411">
      <w:pPr>
        <w:tabs>
          <w:tab w:val="left" w:pos="142"/>
        </w:tabs>
        <w:spacing w:before="240" w:after="240" w:line="360" w:lineRule="auto"/>
        <w:contextualSpacing/>
        <w:jc w:val="both"/>
        <w:rPr>
          <w:rFonts w:ascii="Palatino Linotype" w:hAnsi="Palatino Linotype" w:cs="Arial"/>
          <w:sz w:val="24"/>
          <w:szCs w:val="24"/>
        </w:rPr>
      </w:pPr>
    </w:p>
    <w:p w:rsidR="00197C5F" w:rsidRPr="002E1910" w:rsidRDefault="00197C5F" w:rsidP="004E1411">
      <w:pPr>
        <w:numPr>
          <w:ilvl w:val="0"/>
          <w:numId w:val="1"/>
        </w:numPr>
        <w:tabs>
          <w:tab w:val="left" w:pos="142"/>
        </w:tabs>
        <w:spacing w:before="240" w:after="24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La ponencia Resolutora argumenta que el acuerdo número </w:t>
      </w:r>
      <w:r w:rsidR="002E1910" w:rsidRPr="002E1910">
        <w:rPr>
          <w:rFonts w:ascii="Palatino Linotype" w:eastAsia="Times New Roman" w:hAnsi="Palatino Linotype" w:cs="Arial"/>
          <w:sz w:val="24"/>
          <w:szCs w:val="24"/>
          <w:lang w:eastAsia="es-ES"/>
        </w:rPr>
        <w:t>0091/CT/206-2018, donde consta la 16 sesión extraordinaria del Comité de Transparencia</w:t>
      </w:r>
      <w:r w:rsidR="002E1910">
        <w:rPr>
          <w:rFonts w:ascii="Palatino Linotype" w:eastAsia="Times New Roman" w:hAnsi="Palatino Linotype" w:cs="Arial"/>
          <w:sz w:val="24"/>
          <w:szCs w:val="24"/>
          <w:lang w:eastAsia="es-ES"/>
        </w:rPr>
        <w:t>, no se está debidamente fundado y motivado, razón por la cual se transcribieron los artículos 20, 49, 122, 125, 128,129, 132 fracción I, 134, 140 fracción VI, con la finalidad de que si la información en cuadra en los supuestos de reserva que la Ley de transparencia establece, el Sujeto Obligado deberá de señalar la temporalidad la cual es de hasta cinco años.</w:t>
      </w:r>
    </w:p>
    <w:p w:rsidR="004E1411" w:rsidRDefault="004E1411" w:rsidP="004E1411">
      <w:pPr>
        <w:tabs>
          <w:tab w:val="left" w:pos="142"/>
        </w:tabs>
        <w:spacing w:before="240" w:after="240" w:line="360" w:lineRule="auto"/>
        <w:contextualSpacing/>
        <w:jc w:val="both"/>
        <w:rPr>
          <w:rFonts w:ascii="Palatino Linotype" w:hAnsi="Palatino Linotype" w:cs="Arial"/>
          <w:sz w:val="24"/>
          <w:szCs w:val="24"/>
        </w:rPr>
      </w:pPr>
    </w:p>
    <w:p w:rsidR="002E1910" w:rsidRPr="007E7F39" w:rsidRDefault="002E1910" w:rsidP="004E1411">
      <w:pPr>
        <w:numPr>
          <w:ilvl w:val="0"/>
          <w:numId w:val="1"/>
        </w:numPr>
        <w:tabs>
          <w:tab w:val="left" w:pos="142"/>
        </w:tabs>
        <w:spacing w:before="240" w:after="24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Asimismo </w:t>
      </w:r>
      <w:r w:rsidR="001E2A5F">
        <w:rPr>
          <w:rFonts w:ascii="Palatino Linotype" w:hAnsi="Palatino Linotype" w:cs="Arial"/>
          <w:sz w:val="24"/>
          <w:szCs w:val="24"/>
        </w:rPr>
        <w:t>la de realizar</w:t>
      </w:r>
      <w:r>
        <w:rPr>
          <w:rFonts w:ascii="Palatino Linotype" w:hAnsi="Palatino Linotype" w:cs="Arial"/>
          <w:sz w:val="24"/>
          <w:szCs w:val="24"/>
        </w:rPr>
        <w:t xml:space="preserve"> la prueba de daño</w:t>
      </w:r>
      <w:r w:rsidR="001E2A5F">
        <w:rPr>
          <w:rFonts w:ascii="Palatino Linotype" w:hAnsi="Palatino Linotype" w:cs="Arial"/>
          <w:sz w:val="24"/>
          <w:szCs w:val="24"/>
        </w:rPr>
        <w:t xml:space="preserve"> </w:t>
      </w:r>
      <w:r w:rsidR="001E2A5F" w:rsidRPr="001E2A5F">
        <w:rPr>
          <w:rFonts w:ascii="Palatino Linotype" w:eastAsia="Times New Roman" w:hAnsi="Palatino Linotype" w:cs="Times New Roman"/>
          <w:sz w:val="24"/>
          <w:szCs w:val="24"/>
          <w:lang w:eastAsia="es-ES"/>
        </w:rPr>
        <w:t xml:space="preserve">precisando las razones objetivas por las que la apertura de la información generaría una afectación, bajo tres premisas, esto es que la divulgación de la información representa un riesgo real, demostrable e identificable; que la divulgación supera al interés público de </w:t>
      </w:r>
      <w:r w:rsidR="001E2A5F" w:rsidRPr="001E2A5F">
        <w:rPr>
          <w:rFonts w:ascii="Palatino Linotype" w:eastAsia="Times New Roman" w:hAnsi="Palatino Linotype" w:cs="Times New Roman"/>
          <w:sz w:val="24"/>
          <w:szCs w:val="24"/>
          <w:lang w:eastAsia="es-ES"/>
        </w:rPr>
        <w:lastRenderedPageBreak/>
        <w:t>conocerla y por último, la limitación se adecua al principio de proporcionalidad y representa el medio menos restrictivo</w:t>
      </w:r>
      <w:r w:rsidR="001E2A5F">
        <w:rPr>
          <w:rFonts w:ascii="Palatino Linotype" w:eastAsia="Times New Roman" w:hAnsi="Palatino Linotype" w:cs="Times New Roman"/>
          <w:sz w:val="24"/>
          <w:szCs w:val="24"/>
          <w:lang w:eastAsia="es-ES"/>
        </w:rPr>
        <w:t>.</w:t>
      </w:r>
    </w:p>
    <w:p w:rsidR="00A03749" w:rsidRPr="00A03749" w:rsidRDefault="00A03749" w:rsidP="004E1411">
      <w:pPr>
        <w:tabs>
          <w:tab w:val="left" w:pos="142"/>
        </w:tabs>
        <w:contextualSpacing/>
        <w:rPr>
          <w:rFonts w:ascii="Palatino Linotype" w:hAnsi="Palatino Linotype" w:cs="Arial"/>
          <w:sz w:val="24"/>
          <w:szCs w:val="24"/>
        </w:rPr>
      </w:pPr>
    </w:p>
    <w:p w:rsidR="001E2A5F" w:rsidRDefault="001E2A5F" w:rsidP="004E1411">
      <w:pPr>
        <w:numPr>
          <w:ilvl w:val="0"/>
          <w:numId w:val="1"/>
        </w:numPr>
        <w:tabs>
          <w:tab w:val="left" w:pos="142"/>
        </w:tabs>
        <w:spacing w:before="240" w:after="24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Dicho lo anterior, </w:t>
      </w:r>
      <w:r w:rsidR="00A03749" w:rsidRPr="00A03749">
        <w:rPr>
          <w:rFonts w:ascii="Palatino Linotype" w:hAnsi="Palatino Linotype" w:cs="Arial"/>
          <w:sz w:val="24"/>
          <w:szCs w:val="24"/>
        </w:rPr>
        <w:t xml:space="preserve">la postura adoptada por el Comisionado Ponente va encaminada </w:t>
      </w:r>
      <w:r w:rsidR="00500FBA">
        <w:rPr>
          <w:rFonts w:ascii="Palatino Linotype" w:hAnsi="Palatino Linotype" w:cs="Arial"/>
          <w:sz w:val="24"/>
          <w:szCs w:val="24"/>
        </w:rPr>
        <w:t xml:space="preserve">en la falta de fundamentación y motivación del acuerdo de clasificación, mismo que debe contener un razonamiento lógico en que se demuestre que la información se encuentra en una de las hipótesis </w:t>
      </w:r>
      <w:r w:rsidR="00500FBA" w:rsidRPr="00500FBA">
        <w:rPr>
          <w:rFonts w:ascii="Palatino Linotype" w:eastAsia="Times New Roman" w:hAnsi="Palatino Linotype" w:cs="Arial"/>
          <w:sz w:val="24"/>
          <w:szCs w:val="24"/>
          <w:lang w:eastAsia="es-ES"/>
        </w:rPr>
        <w:t>previstas en la ley</w:t>
      </w:r>
      <w:r w:rsidR="00500FBA">
        <w:rPr>
          <w:rFonts w:ascii="Palatino Linotype" w:eastAsia="Times New Roman" w:hAnsi="Palatino Linotype" w:cs="Arial"/>
          <w:sz w:val="24"/>
          <w:szCs w:val="24"/>
          <w:lang w:eastAsia="es-ES"/>
        </w:rPr>
        <w:t xml:space="preserve">. </w:t>
      </w:r>
    </w:p>
    <w:p w:rsidR="00A03749" w:rsidRPr="00A03749" w:rsidRDefault="00A03749" w:rsidP="004E1411">
      <w:pPr>
        <w:tabs>
          <w:tab w:val="left" w:pos="142"/>
        </w:tabs>
        <w:contextualSpacing/>
        <w:rPr>
          <w:rFonts w:ascii="Palatino Linotype" w:hAnsi="Palatino Linotype" w:cs="Arial"/>
          <w:sz w:val="24"/>
          <w:szCs w:val="24"/>
        </w:rPr>
      </w:pPr>
    </w:p>
    <w:p w:rsidR="00A03749" w:rsidRPr="00A03749" w:rsidRDefault="00500FBA" w:rsidP="004E1411">
      <w:pPr>
        <w:numPr>
          <w:ilvl w:val="0"/>
          <w:numId w:val="1"/>
        </w:numPr>
        <w:tabs>
          <w:tab w:val="left" w:pos="142"/>
        </w:tabs>
        <w:spacing w:before="240" w:after="240" w:line="360" w:lineRule="auto"/>
        <w:ind w:left="0" w:firstLine="0"/>
        <w:contextualSpacing/>
        <w:jc w:val="both"/>
        <w:rPr>
          <w:rFonts w:ascii="Palatino Linotype" w:hAnsi="Palatino Linotype" w:cs="Arial"/>
          <w:sz w:val="24"/>
          <w:szCs w:val="24"/>
        </w:rPr>
      </w:pPr>
      <w:r w:rsidRPr="001B5640">
        <w:rPr>
          <w:rFonts w:ascii="Palatino Linotype" w:hAnsi="Palatino Linotype" w:cs="Arial"/>
          <w:sz w:val="24"/>
          <w:szCs w:val="24"/>
        </w:rPr>
        <w:t xml:space="preserve">La </w:t>
      </w:r>
      <w:r w:rsidR="00A03749" w:rsidRPr="00A03749">
        <w:rPr>
          <w:rFonts w:ascii="Palatino Linotype" w:hAnsi="Palatino Linotype" w:cs="Arial"/>
          <w:sz w:val="24"/>
          <w:szCs w:val="24"/>
        </w:rPr>
        <w:t xml:space="preserve">acción </w:t>
      </w:r>
      <w:r w:rsidRPr="001B5640">
        <w:rPr>
          <w:rFonts w:ascii="Palatino Linotype" w:hAnsi="Palatino Linotype" w:cs="Arial"/>
          <w:sz w:val="24"/>
          <w:szCs w:val="24"/>
        </w:rPr>
        <w:t xml:space="preserve">adoptada por </w:t>
      </w:r>
      <w:r w:rsidR="00A03749" w:rsidRPr="00A03749">
        <w:rPr>
          <w:rFonts w:ascii="Palatino Linotype" w:hAnsi="Palatino Linotype" w:cs="Arial"/>
          <w:sz w:val="24"/>
          <w:szCs w:val="24"/>
        </w:rPr>
        <w:t>el Comisionado Ponente,</w:t>
      </w:r>
      <w:r w:rsidRPr="001B5640">
        <w:rPr>
          <w:rFonts w:ascii="Palatino Linotype" w:hAnsi="Palatino Linotype" w:cs="Arial"/>
          <w:sz w:val="24"/>
          <w:szCs w:val="24"/>
        </w:rPr>
        <w:t xml:space="preserve"> prevalecería</w:t>
      </w:r>
      <w:r w:rsidR="00A03749" w:rsidRPr="00A03749">
        <w:rPr>
          <w:rFonts w:ascii="Palatino Linotype" w:hAnsi="Palatino Linotype" w:cs="Arial"/>
          <w:sz w:val="24"/>
          <w:szCs w:val="24"/>
        </w:rPr>
        <w:t xml:space="preserve"> siempre y cuando exista un indicio de que la información puede actualizar una causal de reserva, sin embargo, en el presente asunto en particular, no se tiene ni un solo elemento que permite tan solo “presumir” la existencia de información que actualice una causal de reserva</w:t>
      </w:r>
      <w:r w:rsidR="003B2E5E" w:rsidRPr="001B5640">
        <w:rPr>
          <w:rFonts w:ascii="Palatino Linotype" w:hAnsi="Palatino Linotype" w:cs="Arial"/>
          <w:sz w:val="24"/>
          <w:szCs w:val="24"/>
        </w:rPr>
        <w:t xml:space="preserve">, toda vez </w:t>
      </w:r>
      <w:r w:rsidR="001B5640" w:rsidRPr="001B5640">
        <w:rPr>
          <w:rFonts w:ascii="Palatino Linotype" w:hAnsi="Palatino Linotype" w:cs="Arial"/>
          <w:sz w:val="24"/>
          <w:szCs w:val="24"/>
        </w:rPr>
        <w:t xml:space="preserve">solo </w:t>
      </w:r>
      <w:r w:rsidR="003B2E5E" w:rsidRPr="001B5640">
        <w:rPr>
          <w:rFonts w:ascii="Palatino Linotype" w:hAnsi="Palatino Linotype" w:cs="Arial"/>
          <w:sz w:val="24"/>
          <w:szCs w:val="24"/>
        </w:rPr>
        <w:t>hubo simples pronunciamientos que no dan sustento a demostrar que efectivamente</w:t>
      </w:r>
      <w:r w:rsidR="001B5640" w:rsidRPr="001B5640">
        <w:rPr>
          <w:rFonts w:ascii="Palatino Linotype" w:hAnsi="Palatino Linotype" w:cs="Arial"/>
          <w:sz w:val="24"/>
          <w:szCs w:val="24"/>
        </w:rPr>
        <w:t xml:space="preserve"> la divulgación de la información </w:t>
      </w:r>
      <w:r w:rsidR="003B2E5E" w:rsidRPr="001B5640">
        <w:rPr>
          <w:rFonts w:ascii="Palatino Linotype" w:hAnsi="Palatino Linotype" w:cs="Arial"/>
          <w:sz w:val="24"/>
          <w:szCs w:val="24"/>
        </w:rPr>
        <w:t xml:space="preserve"> </w:t>
      </w:r>
      <w:r w:rsidR="001B5640" w:rsidRPr="001B5640">
        <w:rPr>
          <w:rFonts w:ascii="Palatino Linotype" w:hAnsi="Palatino Linotype" w:cs="Arial"/>
          <w:sz w:val="24"/>
          <w:szCs w:val="24"/>
        </w:rPr>
        <w:t xml:space="preserve">representa un riesgo real, </w:t>
      </w:r>
      <w:r w:rsidR="007E6D21" w:rsidRPr="001B5640">
        <w:rPr>
          <w:rFonts w:ascii="Palatino Linotype" w:hAnsi="Palatino Linotype" w:cs="Arial"/>
          <w:sz w:val="24"/>
          <w:szCs w:val="24"/>
        </w:rPr>
        <w:t>demostrable</w:t>
      </w:r>
      <w:r w:rsidR="001B5640" w:rsidRPr="001B5640">
        <w:rPr>
          <w:rFonts w:ascii="Palatino Linotype" w:hAnsi="Palatino Linotype" w:cs="Arial"/>
          <w:sz w:val="24"/>
          <w:szCs w:val="24"/>
        </w:rPr>
        <w:t xml:space="preserve"> e identificable</w:t>
      </w:r>
      <w:r w:rsidR="001B5640">
        <w:rPr>
          <w:rFonts w:ascii="Palatino Linotype" w:hAnsi="Palatino Linotype" w:cs="Arial"/>
          <w:sz w:val="24"/>
          <w:szCs w:val="24"/>
        </w:rPr>
        <w:t xml:space="preserve">. </w:t>
      </w:r>
      <w:r w:rsidR="00A03749" w:rsidRPr="00A03749">
        <w:rPr>
          <w:rFonts w:ascii="Palatino Linotype" w:hAnsi="Palatino Linotype" w:cs="Arial"/>
          <w:sz w:val="24"/>
          <w:szCs w:val="24"/>
        </w:rPr>
        <w:t>Es por ello que no comparto este apartado de la resolución, y para prueba de ello es necesario resaltar lo siguiente:</w:t>
      </w:r>
    </w:p>
    <w:p w:rsidR="00A03749" w:rsidRPr="00A03749" w:rsidRDefault="00A03749" w:rsidP="004E1411">
      <w:pPr>
        <w:tabs>
          <w:tab w:val="left" w:pos="142"/>
        </w:tabs>
        <w:contextualSpacing/>
        <w:rPr>
          <w:rFonts w:ascii="Palatino Linotype" w:hAnsi="Palatino Linotype" w:cs="Arial"/>
          <w:sz w:val="24"/>
          <w:szCs w:val="24"/>
        </w:rPr>
      </w:pPr>
    </w:p>
    <w:p w:rsidR="00A03749" w:rsidRPr="00A03749" w:rsidRDefault="00500FBA"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Pr>
          <w:rFonts w:ascii="Palatino Linotype" w:hAnsi="Palatino Linotype"/>
          <w:sz w:val="24"/>
          <w:szCs w:val="24"/>
        </w:rPr>
        <w:t>L</w:t>
      </w:r>
      <w:r w:rsidR="00A03749" w:rsidRPr="00A03749">
        <w:rPr>
          <w:rFonts w:ascii="Palatino Linotype" w:hAnsi="Palatino Linotype"/>
          <w:sz w:val="24"/>
          <w:szCs w:val="24"/>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A03749" w:rsidRPr="00A03749">
        <w:rPr>
          <w:rFonts w:ascii="Palatino Linotype" w:hAnsi="Palatino Linotype"/>
          <w:sz w:val="24"/>
          <w:szCs w:val="24"/>
          <w:vertAlign w:val="superscript"/>
        </w:rPr>
        <w:footnoteReference w:id="1"/>
      </w:r>
      <w:r w:rsidR="00A03749" w:rsidRPr="00A03749">
        <w:rPr>
          <w:rFonts w:ascii="Palatino Linotype" w:hAnsi="Palatino Linotype"/>
          <w:sz w:val="24"/>
          <w:szCs w:val="24"/>
        </w:rPr>
        <w:t xml:space="preserve"> aunque cualquier límite o restricción, </w:t>
      </w:r>
      <w:r w:rsidR="00A03749" w:rsidRPr="00A03749">
        <w:rPr>
          <w:rFonts w:ascii="Palatino Linotype" w:hAnsi="Palatino Linotype"/>
          <w:sz w:val="24"/>
          <w:szCs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00A03749" w:rsidRPr="00A03749">
        <w:rPr>
          <w:rFonts w:ascii="Palatino Linotype" w:hAnsi="Palatino Linotype"/>
          <w:sz w:val="24"/>
          <w:szCs w:val="24"/>
          <w:vertAlign w:val="superscript"/>
        </w:rPr>
        <w:footnoteReference w:id="2"/>
      </w:r>
      <w:r w:rsidR="00A03749" w:rsidRPr="00A03749">
        <w:rPr>
          <w:rFonts w:ascii="Palatino Linotype" w:hAnsi="Palatino Linotype"/>
          <w:sz w:val="24"/>
          <w:szCs w:val="24"/>
        </w:rPr>
        <w:t xml:space="preserve"> En este caso, la clasificación total o parcial de la información es un supuesto que tanto la Ley General de Transparencia y Acceso a la Información </w:t>
      </w:r>
      <w:r w:rsidR="00A03749" w:rsidRPr="00A03749">
        <w:rPr>
          <w:rFonts w:ascii="Palatino Linotype" w:hAnsi="Palatino Linotype"/>
          <w:sz w:val="24"/>
          <w:szCs w:val="24"/>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A03749" w:rsidRPr="00A03749" w:rsidRDefault="00A03749" w:rsidP="004E1411">
      <w:pPr>
        <w:tabs>
          <w:tab w:val="left" w:pos="142"/>
        </w:tabs>
        <w:spacing w:line="360" w:lineRule="auto"/>
        <w:contextualSpacing/>
        <w:jc w:val="both"/>
        <w:rPr>
          <w:rFonts w:ascii="Palatino Linotype" w:hAnsi="Palatino Linotype"/>
          <w:sz w:val="24"/>
          <w:szCs w:val="24"/>
        </w:rPr>
      </w:pPr>
      <w:r w:rsidRPr="00A03749">
        <w:rPr>
          <w:rFonts w:ascii="Palatino Linotype" w:hAnsi="Palatino Linotype"/>
          <w:sz w:val="24"/>
          <w:szCs w:val="24"/>
        </w:rPr>
        <w:t xml:space="preserve"> </w:t>
      </w: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El grave problema que enfrentamos todos los días, al resolver los recursos de revisión que se presenten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A03749" w:rsidRPr="00A03749" w:rsidRDefault="00A03749" w:rsidP="004E1411">
      <w:pPr>
        <w:tabs>
          <w:tab w:val="left" w:pos="142"/>
        </w:tabs>
        <w:spacing w:line="360" w:lineRule="auto"/>
        <w:contextualSpacing/>
        <w:jc w:val="both"/>
        <w:rPr>
          <w:rFonts w:ascii="Palatino Linotype" w:hAnsi="Palatino Linotype"/>
          <w:sz w:val="24"/>
          <w:szCs w:val="24"/>
        </w:rPr>
      </w:pPr>
    </w:p>
    <w:p w:rsidR="001B5640"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 xml:space="preserve">Por esa razón, es que en esta ocasión concurro con el presente voto, con la finalidad de presentar </w:t>
      </w:r>
      <w:r w:rsidR="001B5640" w:rsidRPr="00827A65">
        <w:rPr>
          <w:rFonts w:ascii="Palatino Linotype" w:hAnsi="Palatino Linotype"/>
          <w:sz w:val="24"/>
          <w:szCs w:val="24"/>
        </w:rPr>
        <w:t>un apretado resumen de las formalidades, elementos y procedimientos que debe considerar el sujeto obligado para emitir este tipo de acuerdos y que el Órgano Garante debe verificar que se cumplan</w:t>
      </w:r>
      <w:r w:rsidR="008809CF">
        <w:rPr>
          <w:rFonts w:ascii="Palatino Linotype" w:hAnsi="Palatino Linotype"/>
          <w:sz w:val="24"/>
          <w:szCs w:val="24"/>
        </w:rPr>
        <w:t>.</w:t>
      </w:r>
    </w:p>
    <w:p w:rsidR="001B5640" w:rsidRDefault="001B5640" w:rsidP="004E1411">
      <w:pPr>
        <w:pStyle w:val="Prrafodelista"/>
        <w:tabs>
          <w:tab w:val="left" w:pos="142"/>
        </w:tabs>
        <w:ind w:left="0"/>
        <w:rPr>
          <w:rFonts w:ascii="Palatino Linotype" w:hAnsi="Palatino Linotype"/>
          <w:sz w:val="24"/>
          <w:szCs w:val="24"/>
        </w:rPr>
      </w:pPr>
    </w:p>
    <w:p w:rsidR="00A03749" w:rsidRPr="00A03749" w:rsidRDefault="00A03749" w:rsidP="004E1411">
      <w:pPr>
        <w:keepNext/>
        <w:keepLines/>
        <w:numPr>
          <w:ilvl w:val="0"/>
          <w:numId w:val="3"/>
        </w:numPr>
        <w:tabs>
          <w:tab w:val="left" w:pos="142"/>
        </w:tabs>
        <w:spacing w:before="40" w:after="0"/>
        <w:ind w:left="0" w:firstLine="0"/>
        <w:outlineLvl w:val="1"/>
        <w:rPr>
          <w:rFonts w:ascii="Palatino Linotype" w:eastAsiaTheme="majorEastAsia" w:hAnsi="Palatino Linotype" w:cstheme="majorBidi"/>
          <w:b/>
          <w:color w:val="2E74B5" w:themeColor="accent1" w:themeShade="BF"/>
          <w:sz w:val="26"/>
          <w:szCs w:val="26"/>
        </w:rPr>
      </w:pPr>
      <w:bookmarkStart w:id="4" w:name="_Toc3895617"/>
      <w:r w:rsidRPr="00A03749">
        <w:rPr>
          <w:rFonts w:ascii="Palatino Linotype" w:eastAsiaTheme="majorEastAsia" w:hAnsi="Palatino Linotype" w:cstheme="majorBidi"/>
          <w:b/>
          <w:sz w:val="24"/>
          <w:szCs w:val="26"/>
        </w:rPr>
        <w:t>Requisitos previos</w:t>
      </w:r>
      <w:bookmarkEnd w:id="4"/>
    </w:p>
    <w:p w:rsidR="00A03749" w:rsidRPr="00A03749" w:rsidRDefault="00A03749" w:rsidP="004E1411">
      <w:pPr>
        <w:tabs>
          <w:tab w:val="left" w:pos="142"/>
        </w:tabs>
        <w:spacing w:line="360" w:lineRule="auto"/>
        <w:contextualSpacing/>
        <w:jc w:val="both"/>
        <w:rPr>
          <w:rFonts w:ascii="Palatino Linotype" w:hAnsi="Palatino Linotype" w:cs="Arial"/>
          <w:b/>
          <w:color w:val="000000" w:themeColor="text1"/>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cs="Arial"/>
          <w:color w:val="000000" w:themeColor="text1"/>
          <w:sz w:val="24"/>
          <w:szCs w:val="24"/>
        </w:rPr>
      </w:pPr>
      <w:r w:rsidRPr="00A03749">
        <w:rPr>
          <w:rFonts w:ascii="Palatino Linotype" w:hAnsi="Palatino Linotype" w:cs="Arial"/>
          <w:color w:val="000000" w:themeColor="text1"/>
          <w:sz w:val="24"/>
          <w:szCs w:val="24"/>
        </w:rPr>
        <w:lastRenderedPageBreak/>
        <w:t xml:space="preserve">Los </w:t>
      </w:r>
      <w:r w:rsidRPr="00A03749">
        <w:rPr>
          <w:rFonts w:ascii="Palatino Linotype" w:hAnsi="Palatino Linotype"/>
          <w:sz w:val="24"/>
          <w:szCs w:val="24"/>
        </w:rPr>
        <w:t>artículos</w:t>
      </w:r>
      <w:r w:rsidRPr="00A03749">
        <w:rPr>
          <w:rFonts w:ascii="Palatino Linotype" w:hAnsi="Palatino Linotype" w:cs="Arial"/>
          <w:color w:val="000000" w:themeColor="text1"/>
          <w:sz w:val="24"/>
          <w:szCs w:val="24"/>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A03749" w:rsidRPr="00A03749" w:rsidRDefault="00A03749" w:rsidP="004E1411">
      <w:pPr>
        <w:tabs>
          <w:tab w:val="left" w:pos="142"/>
        </w:tabs>
        <w:spacing w:line="360" w:lineRule="auto"/>
        <w:contextualSpacing/>
        <w:jc w:val="both"/>
        <w:rPr>
          <w:rFonts w:ascii="Palatino Linotype" w:hAnsi="Palatino Linotype" w:cs="Arial"/>
          <w:color w:val="000000" w:themeColor="text1"/>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cs="Arial"/>
          <w:color w:val="000000" w:themeColor="text1"/>
          <w:sz w:val="24"/>
          <w:szCs w:val="24"/>
        </w:rPr>
      </w:pPr>
      <w:r w:rsidRPr="00A03749">
        <w:rPr>
          <w:rFonts w:ascii="Palatino Linotype" w:hAnsi="Palatino Linotype" w:cs="Arial"/>
          <w:color w:val="000000" w:themeColor="text1"/>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03749" w:rsidRPr="00A03749" w:rsidRDefault="00A03749" w:rsidP="004E1411">
      <w:pPr>
        <w:tabs>
          <w:tab w:val="left" w:pos="142"/>
        </w:tabs>
        <w:spacing w:line="360" w:lineRule="auto"/>
        <w:contextualSpacing/>
        <w:jc w:val="both"/>
        <w:rPr>
          <w:rFonts w:ascii="Palatino Linotype" w:hAnsi="Palatino Linotype" w:cs="Arial"/>
          <w:color w:val="000000" w:themeColor="text1"/>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cs="Arial"/>
          <w:color w:val="000000" w:themeColor="text1"/>
          <w:sz w:val="24"/>
          <w:szCs w:val="24"/>
        </w:rPr>
      </w:pPr>
      <w:r w:rsidRPr="00A03749">
        <w:rPr>
          <w:rFonts w:ascii="Palatino Linotype" w:hAnsi="Palatino Linotype" w:cs="Arial"/>
          <w:color w:val="000000" w:themeColor="text1"/>
          <w:sz w:val="24"/>
          <w:szCs w:val="24"/>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w:t>
      </w:r>
      <w:r w:rsidRPr="00A03749">
        <w:rPr>
          <w:rFonts w:ascii="Palatino Linotype" w:hAnsi="Palatino Linotype" w:cs="Arial"/>
          <w:color w:val="000000" w:themeColor="text1"/>
          <w:sz w:val="24"/>
          <w:szCs w:val="24"/>
        </w:rPr>
        <w:lastRenderedPageBreak/>
        <w:t>dato que se vaya a clasificar dentro de un documento con diez datos, por ejemplo, susceptibles de ser clasificados.</w:t>
      </w:r>
    </w:p>
    <w:p w:rsidR="00A03749" w:rsidRPr="00A03749" w:rsidRDefault="00A03749" w:rsidP="004E1411">
      <w:pPr>
        <w:tabs>
          <w:tab w:val="left" w:pos="142"/>
        </w:tabs>
        <w:spacing w:line="360" w:lineRule="auto"/>
        <w:contextualSpacing/>
        <w:jc w:val="both"/>
        <w:rPr>
          <w:rFonts w:ascii="Palatino Linotype" w:hAnsi="Palatino Linotype"/>
          <w:b/>
          <w:sz w:val="24"/>
          <w:szCs w:val="24"/>
        </w:rPr>
      </w:pPr>
    </w:p>
    <w:p w:rsidR="00A03749" w:rsidRPr="00A03749" w:rsidRDefault="00A03749" w:rsidP="004E1411">
      <w:pPr>
        <w:keepNext/>
        <w:keepLines/>
        <w:numPr>
          <w:ilvl w:val="0"/>
          <w:numId w:val="3"/>
        </w:numPr>
        <w:tabs>
          <w:tab w:val="left" w:pos="142"/>
        </w:tabs>
        <w:spacing w:before="40" w:after="0"/>
        <w:ind w:left="0" w:firstLine="0"/>
        <w:outlineLvl w:val="1"/>
        <w:rPr>
          <w:rFonts w:ascii="Palatino Linotype" w:eastAsiaTheme="majorEastAsia" w:hAnsi="Palatino Linotype" w:cstheme="majorBidi"/>
          <w:b/>
          <w:sz w:val="24"/>
          <w:szCs w:val="26"/>
        </w:rPr>
      </w:pPr>
      <w:bookmarkStart w:id="5" w:name="_Toc3895618"/>
      <w:r w:rsidRPr="00A03749">
        <w:rPr>
          <w:rFonts w:ascii="Palatino Linotype" w:eastAsiaTheme="majorEastAsia" w:hAnsi="Palatino Linotype" w:cstheme="majorBidi"/>
          <w:b/>
          <w:sz w:val="24"/>
          <w:szCs w:val="26"/>
        </w:rPr>
        <w:t>Supuestos de clasificación</w:t>
      </w:r>
      <w:bookmarkEnd w:id="5"/>
    </w:p>
    <w:p w:rsidR="00A03749" w:rsidRPr="00A03749" w:rsidRDefault="00A03749" w:rsidP="004E1411">
      <w:pPr>
        <w:tabs>
          <w:tab w:val="left" w:pos="142"/>
        </w:tabs>
        <w:spacing w:line="360" w:lineRule="auto"/>
        <w:contextualSpacing/>
        <w:jc w:val="both"/>
        <w:rPr>
          <w:rFonts w:ascii="Palatino Linotype" w:hAnsi="Palatino Linotype"/>
          <w:b/>
          <w:sz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cs="Arial"/>
          <w:color w:val="000000" w:themeColor="text1"/>
          <w:sz w:val="24"/>
          <w:szCs w:val="24"/>
        </w:rPr>
      </w:pPr>
      <w:r w:rsidRPr="00A03749">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A03749" w:rsidRPr="00A03749" w:rsidRDefault="00A03749" w:rsidP="004E1411">
      <w:pPr>
        <w:tabs>
          <w:tab w:val="left" w:pos="142"/>
        </w:tabs>
        <w:spacing w:line="360" w:lineRule="auto"/>
        <w:contextualSpacing/>
        <w:jc w:val="both"/>
        <w:rPr>
          <w:rFonts w:ascii="Palatino Linotype" w:hAnsi="Palatino Linotype" w:cs="Arial"/>
          <w:color w:val="000000" w:themeColor="text1"/>
          <w:sz w:val="24"/>
          <w:szCs w:val="24"/>
        </w:rPr>
      </w:pPr>
    </w:p>
    <w:p w:rsidR="00A03749" w:rsidRDefault="00A03749" w:rsidP="004E1411">
      <w:pPr>
        <w:numPr>
          <w:ilvl w:val="0"/>
          <w:numId w:val="1"/>
        </w:numPr>
        <w:tabs>
          <w:tab w:val="left" w:pos="142"/>
        </w:tabs>
        <w:spacing w:line="360" w:lineRule="auto"/>
        <w:ind w:left="0" w:firstLine="0"/>
        <w:contextualSpacing/>
        <w:jc w:val="both"/>
        <w:rPr>
          <w:rFonts w:ascii="Palatino Linotype" w:hAnsi="Palatino Linotype" w:cs="Arial"/>
          <w:color w:val="000000" w:themeColor="text1"/>
          <w:sz w:val="24"/>
          <w:szCs w:val="24"/>
        </w:rPr>
      </w:pPr>
      <w:r w:rsidRPr="00A03749">
        <w:rPr>
          <w:rFonts w:ascii="Palatino Linotype" w:hAnsi="Palatino Linotype" w:cs="Arial"/>
          <w:color w:val="000000" w:themeColor="text1"/>
          <w:sz w:val="24"/>
          <w:szCs w:val="24"/>
        </w:rPr>
        <w:t>Los artículos 140 y 113 de la Ley Estatal y de la Ley General, respectivamente, señalan los supuestos para que una información pueda considerarse como reservada, que son los siguientes:</w:t>
      </w:r>
    </w:p>
    <w:p w:rsidR="004E1411" w:rsidRDefault="004E1411" w:rsidP="004E1411">
      <w:pPr>
        <w:pStyle w:val="Prrafodelista"/>
        <w:rPr>
          <w:rFonts w:ascii="Palatino Linotype" w:hAnsi="Palatino Linotype" w:cs="Arial"/>
          <w:color w:val="000000" w:themeColor="text1"/>
          <w:sz w:val="24"/>
          <w:szCs w:val="24"/>
        </w:rPr>
      </w:pPr>
    </w:p>
    <w:p w:rsidR="004E1411" w:rsidRPr="00A03749" w:rsidRDefault="004E1411" w:rsidP="004E1411">
      <w:pPr>
        <w:tabs>
          <w:tab w:val="left" w:pos="142"/>
        </w:tabs>
        <w:spacing w:line="360" w:lineRule="auto"/>
        <w:contextualSpacing/>
        <w:jc w:val="both"/>
        <w:rPr>
          <w:rFonts w:ascii="Palatino Linotype" w:hAnsi="Palatino Linotype" w:cs="Arial"/>
          <w:color w:val="000000" w:themeColor="text1"/>
          <w:sz w:val="24"/>
          <w:szCs w:val="24"/>
        </w:rPr>
      </w:pPr>
    </w:p>
    <w:tbl>
      <w:tblPr>
        <w:tblStyle w:val="Tablanormal1"/>
        <w:tblW w:w="0" w:type="auto"/>
        <w:tblInd w:w="688" w:type="dxa"/>
        <w:tblLook w:val="04A0" w:firstRow="1" w:lastRow="0" w:firstColumn="1" w:lastColumn="0" w:noHBand="0" w:noVBand="1"/>
      </w:tblPr>
      <w:tblGrid>
        <w:gridCol w:w="3726"/>
        <w:gridCol w:w="4089"/>
      </w:tblGrid>
      <w:tr w:rsidR="00A03749" w:rsidRPr="00A03749" w:rsidTr="009B5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sz w:val="24"/>
                <w:szCs w:val="24"/>
              </w:rPr>
            </w:pPr>
            <w:r w:rsidRPr="00A03749">
              <w:rPr>
                <w:rFonts w:ascii="Palatino Linotype" w:hAnsi="Palatino Linotype" w:cs="Gill Sans,Bold"/>
                <w:sz w:val="24"/>
                <w:szCs w:val="24"/>
              </w:rPr>
              <w:t>LEY ESTATAL</w:t>
            </w:r>
          </w:p>
        </w:tc>
        <w:tc>
          <w:tcPr>
            <w:tcW w:w="4089" w:type="dxa"/>
          </w:tcPr>
          <w:p w:rsidR="00A03749" w:rsidRPr="00A03749" w:rsidRDefault="00A03749" w:rsidP="004E1411">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A03749">
              <w:rPr>
                <w:rFonts w:ascii="Palatino Linotype" w:hAnsi="Palatino Linotype"/>
                <w:sz w:val="24"/>
                <w:szCs w:val="24"/>
              </w:rPr>
              <w:t>LEY GENERAL</w:t>
            </w:r>
          </w:p>
        </w:tc>
      </w:tr>
      <w:tr w:rsidR="00A03749" w:rsidRPr="00A03749" w:rsidTr="009B5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t>I. Comprometa la seguridad pública y cuente con un propósito genuino y un efecto demostrable;</w:t>
            </w:r>
          </w:p>
          <w:p w:rsidR="00A03749" w:rsidRPr="00A03749" w:rsidRDefault="00A03749" w:rsidP="004E1411">
            <w:pPr>
              <w:tabs>
                <w:tab w:val="left" w:pos="142"/>
              </w:tabs>
              <w:spacing w:line="360" w:lineRule="auto"/>
              <w:jc w:val="both"/>
              <w:rPr>
                <w:rFonts w:ascii="Palatino Linotype" w:hAnsi="Palatino Linotype"/>
                <w:sz w:val="24"/>
                <w:szCs w:val="24"/>
              </w:rPr>
            </w:pPr>
          </w:p>
        </w:tc>
        <w:tc>
          <w:tcPr>
            <w:tcW w:w="4089" w:type="dxa"/>
          </w:tcPr>
          <w:p w:rsidR="00A03749" w:rsidRPr="00A03749" w:rsidRDefault="00A03749" w:rsidP="004E1411">
            <w:pPr>
              <w:tabs>
                <w:tab w:val="left" w:pos="142"/>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I.</w:t>
            </w:r>
            <w:r w:rsidRPr="00A03749">
              <w:rPr>
                <w:rFonts w:ascii="Palatino Linotype" w:hAnsi="Palatino Linotype"/>
                <w:sz w:val="24"/>
                <w:szCs w:val="24"/>
                <w:lang w:val="es-ES"/>
              </w:rPr>
              <w:tab/>
              <w:t>Comprometa la seguridad nacional, la seguridad pública o la defensa nacional y cuente con un propósito genuino y un efecto demostrable;</w:t>
            </w:r>
          </w:p>
        </w:tc>
      </w:tr>
      <w:tr w:rsidR="00A03749" w:rsidRPr="00A03749" w:rsidTr="009B5D1C">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lastRenderedPageBreak/>
              <w:t>II. Pueda menoscabar la conducción de las negociaciones y relaciones internacionales;</w:t>
            </w:r>
          </w:p>
        </w:tc>
        <w:tc>
          <w:tcPr>
            <w:tcW w:w="4089" w:type="dxa"/>
          </w:tcPr>
          <w:p w:rsidR="00A03749" w:rsidRPr="00A03749" w:rsidRDefault="00A03749" w:rsidP="004E1411">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II.</w:t>
            </w:r>
            <w:r w:rsidRPr="00A03749">
              <w:rPr>
                <w:rFonts w:ascii="Palatino Linotype" w:hAnsi="Palatino Linotype"/>
                <w:sz w:val="24"/>
                <w:szCs w:val="24"/>
                <w:lang w:val="es-ES"/>
              </w:rPr>
              <w:tab/>
              <w:t>Pueda menoscabar la conducción de las negociaciones y relaciones internacionales;</w:t>
            </w:r>
          </w:p>
        </w:tc>
      </w:tr>
      <w:tr w:rsidR="00A03749" w:rsidRPr="00A03749" w:rsidTr="009B5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tcPr>
          <w:p w:rsidR="00A03749" w:rsidRPr="00A03749" w:rsidRDefault="00A03749" w:rsidP="004E1411">
            <w:pPr>
              <w:tabs>
                <w:tab w:val="left" w:pos="142"/>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III.</w:t>
            </w:r>
            <w:r w:rsidRPr="00A03749">
              <w:rPr>
                <w:rFonts w:ascii="Palatino Linotype" w:hAnsi="Palatino Linotype"/>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A03749" w:rsidRPr="00A03749" w:rsidTr="009B5D1C">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p>
        </w:tc>
        <w:tc>
          <w:tcPr>
            <w:tcW w:w="4089" w:type="dxa"/>
          </w:tcPr>
          <w:p w:rsidR="00A03749" w:rsidRPr="00A03749" w:rsidRDefault="00A03749" w:rsidP="004E1411">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IV.</w:t>
            </w:r>
            <w:r w:rsidRPr="00A03749">
              <w:rPr>
                <w:rFonts w:ascii="Palatino Linotype" w:hAnsi="Palatino Linotype"/>
                <w:sz w:val="24"/>
                <w:szCs w:val="24"/>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w:t>
            </w:r>
            <w:r w:rsidRPr="00A03749">
              <w:rPr>
                <w:rFonts w:ascii="Palatino Linotype" w:hAnsi="Palatino Linotype"/>
                <w:sz w:val="24"/>
                <w:szCs w:val="24"/>
                <w:lang w:val="es-ES"/>
              </w:rPr>
              <w:lastRenderedPageBreak/>
              <w:t>comprometer la seguridad en la provisión de moneda nacional al país, o pueda incrementar el costo de operaciones financieras que realicen los sujetos obligados del sector público federal;</w:t>
            </w:r>
          </w:p>
        </w:tc>
      </w:tr>
      <w:tr w:rsidR="00A03749" w:rsidRPr="00A03749" w:rsidTr="009B5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lastRenderedPageBreak/>
              <w:t>IV. Ponga en riesgo la vida, la seguridad o la salud de una persona física;</w:t>
            </w:r>
          </w:p>
        </w:tc>
        <w:tc>
          <w:tcPr>
            <w:tcW w:w="4089" w:type="dxa"/>
          </w:tcPr>
          <w:p w:rsidR="00A03749" w:rsidRPr="00A03749" w:rsidRDefault="00A03749" w:rsidP="004E1411">
            <w:pPr>
              <w:tabs>
                <w:tab w:val="left" w:pos="142"/>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V.</w:t>
            </w:r>
            <w:r w:rsidRPr="00A03749">
              <w:rPr>
                <w:rFonts w:ascii="Palatino Linotype" w:hAnsi="Palatino Linotype"/>
                <w:sz w:val="24"/>
                <w:szCs w:val="24"/>
                <w:lang w:val="es-ES"/>
              </w:rPr>
              <w:tab/>
              <w:t>Pueda poner en riesgo la vida, seguridad o salud de una persona física;</w:t>
            </w:r>
          </w:p>
        </w:tc>
      </w:tr>
      <w:tr w:rsidR="00A03749" w:rsidRPr="00A03749" w:rsidTr="009B5D1C">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t>V. Aquella cuya divulgación obstruya o pueda causar un serio perjuicio a:</w:t>
            </w:r>
          </w:p>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p>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t>1. Las actividades de fiscalización, verificación, inspección, comprobación y auditoría sobre el cumplimiento de las Leyes; o</w:t>
            </w:r>
          </w:p>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p>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t>2. La recaudación de las contribuciones.</w:t>
            </w:r>
          </w:p>
        </w:tc>
        <w:tc>
          <w:tcPr>
            <w:tcW w:w="4089" w:type="dxa"/>
          </w:tcPr>
          <w:p w:rsidR="00A03749" w:rsidRPr="00A03749" w:rsidRDefault="00A03749" w:rsidP="004E1411">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VI.</w:t>
            </w:r>
            <w:r w:rsidRPr="00A03749">
              <w:rPr>
                <w:rFonts w:ascii="Palatino Linotype" w:hAnsi="Palatino Linotype"/>
                <w:sz w:val="24"/>
                <w:szCs w:val="24"/>
                <w:lang w:val="es-ES"/>
              </w:rPr>
              <w:tab/>
              <w:t>Obstruya las actividades de verificación, inspección y auditoría relativas al cumplimiento de las leyes o afecte la recaudación de contribuciones;</w:t>
            </w:r>
          </w:p>
          <w:p w:rsidR="00A03749" w:rsidRPr="00A03749" w:rsidRDefault="00A03749" w:rsidP="004E1411">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p>
          <w:p w:rsidR="00A03749" w:rsidRPr="00A03749" w:rsidRDefault="00A03749" w:rsidP="004E1411">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A03749" w:rsidRPr="00A03749" w:rsidTr="009B5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rsidR="00A03749" w:rsidRPr="00A03749" w:rsidRDefault="00A03749" w:rsidP="004E1411">
            <w:pPr>
              <w:tabs>
                <w:tab w:val="left" w:pos="142"/>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VII.</w:t>
            </w:r>
            <w:r w:rsidRPr="00A03749">
              <w:rPr>
                <w:rFonts w:ascii="Palatino Linotype" w:hAnsi="Palatino Linotype"/>
                <w:sz w:val="24"/>
                <w:szCs w:val="24"/>
                <w:lang w:val="es-ES"/>
              </w:rPr>
              <w:tab/>
              <w:t>Obstruya la prevención o persecución de los delitos;</w:t>
            </w:r>
          </w:p>
          <w:p w:rsidR="00A03749" w:rsidRPr="00A03749" w:rsidRDefault="00A03749" w:rsidP="004E1411">
            <w:pPr>
              <w:tabs>
                <w:tab w:val="left" w:pos="142"/>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p>
          <w:p w:rsidR="00A03749" w:rsidRPr="00A03749" w:rsidRDefault="00A03749" w:rsidP="004E1411">
            <w:pPr>
              <w:tabs>
                <w:tab w:val="left" w:pos="142"/>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A03749" w:rsidRPr="00A03749" w:rsidTr="009B5D1C">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rsidR="00A03749" w:rsidRPr="00A03749" w:rsidRDefault="00A03749" w:rsidP="004E1411">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VIII.</w:t>
            </w:r>
            <w:r w:rsidRPr="00A03749">
              <w:rPr>
                <w:rFonts w:ascii="Palatino Linotype" w:hAnsi="Palatino Linotype"/>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A03749" w:rsidRPr="00A03749" w:rsidTr="009B5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p>
        </w:tc>
        <w:tc>
          <w:tcPr>
            <w:tcW w:w="4089" w:type="dxa"/>
          </w:tcPr>
          <w:p w:rsidR="00A03749" w:rsidRPr="00A03749" w:rsidRDefault="00A03749" w:rsidP="004E1411">
            <w:pPr>
              <w:tabs>
                <w:tab w:val="left" w:pos="142"/>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IX.</w:t>
            </w:r>
            <w:r w:rsidRPr="00A03749">
              <w:rPr>
                <w:rFonts w:ascii="Palatino Linotype" w:hAnsi="Palatino Linotype"/>
                <w:sz w:val="24"/>
                <w:szCs w:val="24"/>
                <w:lang w:val="es-ES"/>
              </w:rPr>
              <w:tab/>
              <w:t>Obstruya los procedimientos para fincar responsabilidad a los Servidores Públicos, en tanto no se haya dictado la resolución administrativa;</w:t>
            </w:r>
          </w:p>
        </w:tc>
      </w:tr>
      <w:tr w:rsidR="00A03749" w:rsidRPr="00A03749" w:rsidTr="009B5D1C">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p>
        </w:tc>
        <w:tc>
          <w:tcPr>
            <w:tcW w:w="4089" w:type="dxa"/>
          </w:tcPr>
          <w:p w:rsidR="00A03749" w:rsidRPr="00A03749" w:rsidRDefault="00A03749" w:rsidP="004E1411">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X.</w:t>
            </w:r>
            <w:r w:rsidRPr="00A03749">
              <w:rPr>
                <w:rFonts w:ascii="Palatino Linotype" w:hAnsi="Palatino Linotype"/>
                <w:sz w:val="24"/>
                <w:szCs w:val="24"/>
                <w:lang w:val="es-ES"/>
              </w:rPr>
              <w:tab/>
              <w:t>Afecte los derechos del debido proceso;</w:t>
            </w:r>
          </w:p>
        </w:tc>
      </w:tr>
      <w:tr w:rsidR="00A03749" w:rsidRPr="00A03749" w:rsidTr="009B5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t>VIII. Vulnere la conducción de los expedientes judiciales o de los procedimientos administrativos seguidos en forma de juicio, en tanto no hayan quedado firmes;</w:t>
            </w:r>
          </w:p>
        </w:tc>
        <w:tc>
          <w:tcPr>
            <w:tcW w:w="4089" w:type="dxa"/>
          </w:tcPr>
          <w:p w:rsidR="00A03749" w:rsidRPr="00A03749" w:rsidRDefault="00A03749" w:rsidP="004E1411">
            <w:pPr>
              <w:tabs>
                <w:tab w:val="left" w:pos="142"/>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XI.</w:t>
            </w:r>
            <w:r w:rsidRPr="00A03749">
              <w:rPr>
                <w:rFonts w:ascii="Palatino Linotype" w:hAnsi="Palatino Linotype"/>
                <w:sz w:val="24"/>
                <w:szCs w:val="24"/>
                <w:lang w:val="es-ES"/>
              </w:rPr>
              <w:tab/>
              <w:t>Vulnere la conducción de los Expedientes judiciales o de los procedimientos administrativos seguidos en forma de juicio, en tanto no hayan causado estado;</w:t>
            </w:r>
          </w:p>
        </w:tc>
      </w:tr>
      <w:tr w:rsidR="00A03749" w:rsidRPr="00A03749" w:rsidTr="009B5D1C">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lastRenderedPageBreak/>
              <w:t>IX. Se encuentre contenida dentro de las investigaciones de hechos que la Ley señale como delitos y se tramiten ante el Ministerio Público;</w:t>
            </w:r>
          </w:p>
        </w:tc>
        <w:tc>
          <w:tcPr>
            <w:tcW w:w="4089" w:type="dxa"/>
          </w:tcPr>
          <w:p w:rsidR="00A03749" w:rsidRPr="00A03749" w:rsidRDefault="00A03749" w:rsidP="004E1411">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XII.</w:t>
            </w:r>
            <w:r w:rsidRPr="00A03749">
              <w:rPr>
                <w:rFonts w:ascii="Palatino Linotype" w:hAnsi="Palatino Linotype"/>
                <w:sz w:val="24"/>
                <w:szCs w:val="24"/>
                <w:lang w:val="es-ES"/>
              </w:rPr>
              <w:tab/>
              <w:t>Se encuentre contenida dentro de las investigaciones de hechos que la ley señale como delitos y se tramiten ante el Ministerio Público, y</w:t>
            </w:r>
          </w:p>
        </w:tc>
      </w:tr>
      <w:tr w:rsidR="00A03749" w:rsidRPr="00A03749" w:rsidTr="009B5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A03749" w:rsidRPr="00A03749" w:rsidRDefault="00A03749" w:rsidP="004E1411">
            <w:pPr>
              <w:tabs>
                <w:tab w:val="left" w:pos="142"/>
              </w:tabs>
              <w:autoSpaceDE w:val="0"/>
              <w:autoSpaceDN w:val="0"/>
              <w:adjustRightInd w:val="0"/>
              <w:spacing w:line="360" w:lineRule="auto"/>
              <w:jc w:val="both"/>
              <w:rPr>
                <w:rFonts w:ascii="Palatino Linotype" w:hAnsi="Palatino Linotype" w:cs="Arial"/>
                <w:sz w:val="24"/>
                <w:szCs w:val="24"/>
              </w:rPr>
            </w:pPr>
            <w:r w:rsidRPr="00A03749">
              <w:rPr>
                <w:rFonts w:ascii="Palatino Linotype" w:hAnsi="Palatino Linotype" w:cs="Arial"/>
                <w:sz w:val="24"/>
                <w:szCs w:val="24"/>
              </w:rPr>
              <w:t xml:space="preserve">Cuando se trate de información sobre estudios y proyectos cuya divulgación pueda causar daños al interés del Estado o suponga un riesgo para su realización, siempre que esté directamente relacionado con procesos o </w:t>
            </w:r>
            <w:r w:rsidRPr="00A03749">
              <w:rPr>
                <w:rFonts w:ascii="Palatino Linotype" w:hAnsi="Palatino Linotype" w:cs="Arial"/>
                <w:sz w:val="24"/>
                <w:szCs w:val="24"/>
              </w:rPr>
              <w:lastRenderedPageBreak/>
              <w:t>procedimientos administrativos o judiciales que no hayan quedado firmes; y</w:t>
            </w:r>
          </w:p>
        </w:tc>
        <w:tc>
          <w:tcPr>
            <w:tcW w:w="4089" w:type="dxa"/>
          </w:tcPr>
          <w:p w:rsidR="00A03749" w:rsidRPr="00A03749" w:rsidRDefault="00A03749" w:rsidP="004E1411">
            <w:pPr>
              <w:tabs>
                <w:tab w:val="left" w:pos="142"/>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A03749" w:rsidRPr="00A03749" w:rsidTr="009B5D1C">
        <w:tc>
          <w:tcPr>
            <w:cnfStyle w:val="001000000000" w:firstRow="0" w:lastRow="0" w:firstColumn="1" w:lastColumn="0" w:oddVBand="0" w:evenVBand="0" w:oddHBand="0" w:evenHBand="0" w:firstRowFirstColumn="0" w:firstRowLastColumn="0" w:lastRowFirstColumn="0" w:lastRowLastColumn="0"/>
            <w:tcW w:w="3726" w:type="dxa"/>
          </w:tcPr>
          <w:p w:rsidR="00A03749" w:rsidRPr="00A03749" w:rsidRDefault="00A03749" w:rsidP="004E1411">
            <w:pPr>
              <w:tabs>
                <w:tab w:val="left" w:pos="142"/>
              </w:tabs>
              <w:spacing w:line="360" w:lineRule="auto"/>
              <w:jc w:val="both"/>
              <w:rPr>
                <w:rFonts w:ascii="Palatino Linotype" w:hAnsi="Palatino Linotype"/>
                <w:sz w:val="24"/>
                <w:szCs w:val="24"/>
              </w:rPr>
            </w:pPr>
            <w:r w:rsidRPr="00A03749">
              <w:rPr>
                <w:rFonts w:ascii="Palatino Linotype" w:hAnsi="Palatino Linotype" w:cs="Arial"/>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089" w:type="dxa"/>
          </w:tcPr>
          <w:p w:rsidR="00A03749" w:rsidRPr="00A03749" w:rsidRDefault="00A03749" w:rsidP="004E1411">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A03749">
              <w:rPr>
                <w:rFonts w:ascii="Palatino Linotype" w:hAnsi="Palatino Linotype"/>
                <w:sz w:val="24"/>
                <w:szCs w:val="24"/>
                <w:lang w:val="es-ES"/>
              </w:rPr>
              <w:t>XIII.</w:t>
            </w:r>
            <w:r w:rsidRPr="00A03749">
              <w:rPr>
                <w:rFonts w:ascii="Palatino Linotype" w:hAnsi="Palatino Linotype"/>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A03749" w:rsidRPr="00A03749" w:rsidRDefault="00A03749" w:rsidP="004E1411">
      <w:pPr>
        <w:tabs>
          <w:tab w:val="left" w:pos="142"/>
        </w:tabs>
        <w:spacing w:line="360" w:lineRule="auto"/>
        <w:jc w:val="both"/>
        <w:rPr>
          <w:rFonts w:ascii="Palatino Linotype" w:hAnsi="Palatino Linotype" w:cs="Arial"/>
          <w:color w:val="000000" w:themeColor="text1"/>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cs="Arial"/>
          <w:color w:val="000000" w:themeColor="text1"/>
          <w:sz w:val="24"/>
          <w:szCs w:val="24"/>
        </w:rPr>
      </w:pPr>
      <w:r w:rsidRPr="00A03749">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A03749" w:rsidRPr="00A03749" w:rsidRDefault="00A03749" w:rsidP="004E1411">
      <w:pPr>
        <w:tabs>
          <w:tab w:val="left" w:pos="142"/>
        </w:tabs>
        <w:spacing w:line="360" w:lineRule="auto"/>
        <w:contextualSpacing/>
        <w:jc w:val="both"/>
        <w:rPr>
          <w:rFonts w:ascii="Palatino Linotype" w:hAnsi="Palatino Linotype" w:cs="Arial"/>
          <w:color w:val="000000" w:themeColor="text1"/>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cs="Arial"/>
          <w:color w:val="000000" w:themeColor="text1"/>
          <w:sz w:val="24"/>
          <w:szCs w:val="24"/>
        </w:rPr>
      </w:pPr>
      <w:r w:rsidRPr="00A03749">
        <w:rPr>
          <w:rFonts w:ascii="Palatino Linotype" w:hAnsi="Palatino Linotype" w:cs="Arial"/>
          <w:color w:val="000000" w:themeColor="text1"/>
          <w:sz w:val="24"/>
          <w:szCs w:val="24"/>
        </w:rPr>
        <w:t>Como consecuencia de lo anterior, el</w:t>
      </w:r>
      <w:r w:rsidRPr="00A03749">
        <w:rPr>
          <w:rFonts w:ascii="Palatino Linotype" w:hAnsi="Palatino Linotype" w:cs="Arial"/>
          <w:b/>
          <w:color w:val="000000" w:themeColor="text1"/>
          <w:sz w:val="24"/>
          <w:szCs w:val="24"/>
        </w:rPr>
        <w:t xml:space="preserve"> sujeto obligado debe identificar claramente el tipo de información y hacer un juicio de subsunción o encaje</w:t>
      </w:r>
      <w:r w:rsidRPr="001B5640">
        <w:rPr>
          <w:rFonts w:ascii="Palatino Linotype" w:hAnsi="Palatino Linotype" w:cs="Arial"/>
          <w:b/>
          <w:color w:val="000000" w:themeColor="text1"/>
          <w:sz w:val="24"/>
          <w:szCs w:val="24"/>
          <w:vertAlign w:val="superscript"/>
        </w:rPr>
        <w:footnoteReference w:id="3"/>
      </w:r>
      <w:r w:rsidRPr="00A03749">
        <w:rPr>
          <w:rFonts w:ascii="Palatino Linotype" w:hAnsi="Palatino Linotype" w:cs="Arial"/>
          <w:b/>
          <w:color w:val="000000" w:themeColor="text1"/>
          <w:sz w:val="24"/>
          <w:szCs w:val="24"/>
        </w:rPr>
        <w:t xml:space="preserve"> para </w:t>
      </w:r>
      <w:r w:rsidRPr="00A03749">
        <w:rPr>
          <w:rFonts w:ascii="Palatino Linotype" w:hAnsi="Palatino Linotype" w:cs="Arial"/>
          <w:b/>
          <w:color w:val="000000" w:themeColor="text1"/>
          <w:sz w:val="24"/>
          <w:szCs w:val="24"/>
        </w:rPr>
        <w:lastRenderedPageBreak/>
        <w:t>acreditar que el supuesto de hecho corresponde estrictamente con la hipótesis jurídica.</w:t>
      </w:r>
      <w:r w:rsidRPr="00A03749">
        <w:rPr>
          <w:rFonts w:ascii="Palatino Linotype" w:hAnsi="Palatino Linotype" w:cs="Arial"/>
          <w:color w:val="000000" w:themeColor="text1"/>
          <w:sz w:val="24"/>
          <w:szCs w:val="24"/>
        </w:rPr>
        <w:t xml:space="preserve"> Esto también lo debe de realizar el servidor público habilitado y el titular del área que administra la información.</w:t>
      </w:r>
    </w:p>
    <w:p w:rsidR="00A03749" w:rsidRPr="00A03749" w:rsidRDefault="00A03749" w:rsidP="004E1411">
      <w:pPr>
        <w:tabs>
          <w:tab w:val="left" w:pos="142"/>
        </w:tabs>
        <w:spacing w:line="360" w:lineRule="auto"/>
        <w:contextualSpacing/>
        <w:jc w:val="both"/>
        <w:rPr>
          <w:rFonts w:ascii="Palatino Linotype" w:hAnsi="Palatino Linotype" w:cs="Arial"/>
          <w:color w:val="000000" w:themeColor="text1"/>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cs="Arial"/>
          <w:color w:val="000000" w:themeColor="text1"/>
          <w:sz w:val="24"/>
          <w:szCs w:val="24"/>
        </w:rPr>
      </w:pPr>
      <w:r w:rsidRPr="00A03749">
        <w:rPr>
          <w:rFonts w:ascii="Palatino Linotype" w:hAnsi="Palatino Linotype" w:cs="Arial"/>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rsidR="00A03749" w:rsidRPr="00A03749" w:rsidRDefault="00A03749" w:rsidP="004E1411">
      <w:pPr>
        <w:tabs>
          <w:tab w:val="left" w:pos="142"/>
        </w:tabs>
        <w:spacing w:line="360" w:lineRule="auto"/>
        <w:contextualSpacing/>
        <w:jc w:val="both"/>
        <w:rPr>
          <w:rFonts w:ascii="Palatino Linotype" w:hAnsi="Palatino Linotype"/>
          <w:b/>
          <w:sz w:val="24"/>
          <w:szCs w:val="24"/>
        </w:rPr>
      </w:pPr>
    </w:p>
    <w:p w:rsidR="00A03749" w:rsidRPr="00A03749" w:rsidRDefault="00A03749" w:rsidP="004E1411">
      <w:pPr>
        <w:keepNext/>
        <w:keepLines/>
        <w:numPr>
          <w:ilvl w:val="0"/>
          <w:numId w:val="3"/>
        </w:numPr>
        <w:tabs>
          <w:tab w:val="left" w:pos="142"/>
        </w:tabs>
        <w:spacing w:before="40" w:after="0"/>
        <w:ind w:left="0" w:firstLine="0"/>
        <w:outlineLvl w:val="1"/>
        <w:rPr>
          <w:rFonts w:ascii="Palatino Linotype" w:eastAsiaTheme="majorEastAsia" w:hAnsi="Palatino Linotype" w:cstheme="majorBidi"/>
          <w:b/>
          <w:sz w:val="24"/>
          <w:szCs w:val="26"/>
        </w:rPr>
      </w:pPr>
      <w:bookmarkStart w:id="6" w:name="_Toc3895619"/>
      <w:r w:rsidRPr="00A03749">
        <w:rPr>
          <w:rFonts w:ascii="Palatino Linotype" w:eastAsiaTheme="majorEastAsia" w:hAnsi="Palatino Linotype" w:cstheme="majorBidi"/>
          <w:b/>
          <w:sz w:val="24"/>
          <w:szCs w:val="26"/>
        </w:rPr>
        <w:t>Excepciones a los supuestos de clasificación de la información como reservada</w:t>
      </w:r>
      <w:bookmarkEnd w:id="6"/>
    </w:p>
    <w:p w:rsidR="00A03749" w:rsidRPr="00A03749" w:rsidRDefault="00A03749" w:rsidP="004E1411">
      <w:pPr>
        <w:numPr>
          <w:ilvl w:val="0"/>
          <w:numId w:val="1"/>
        </w:numPr>
        <w:tabs>
          <w:tab w:val="left" w:pos="142"/>
        </w:tabs>
        <w:spacing w:before="100" w:beforeAutospacing="1" w:after="100" w:afterAutospacing="1" w:line="360" w:lineRule="auto"/>
        <w:ind w:left="0" w:firstLine="0"/>
        <w:jc w:val="both"/>
        <w:rPr>
          <w:rFonts w:ascii="Palatino Linotype" w:eastAsiaTheme="minorEastAsia" w:hAnsi="Palatino Linotype" w:cs="Times New Roman"/>
          <w:sz w:val="24"/>
          <w:szCs w:val="24"/>
          <w:lang w:eastAsia="es-MX"/>
        </w:rPr>
      </w:pPr>
      <w:r w:rsidRPr="00A03749">
        <w:rPr>
          <w:rFonts w:ascii="Palatino Linotype" w:eastAsiaTheme="minorEastAsia" w:hAnsi="Palatino Linotype" w:cs="Times New Roman"/>
          <w:sz w:val="24"/>
          <w:szCs w:val="24"/>
          <w:lang w:eastAsia="es-MX"/>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w:t>
      </w:r>
      <w:r w:rsidRPr="00A03749">
        <w:rPr>
          <w:rFonts w:ascii="Palatino Linotype" w:eastAsiaTheme="minorEastAsia" w:hAnsi="Palatino Linotype" w:cs="Times New Roman"/>
          <w:sz w:val="24"/>
          <w:szCs w:val="24"/>
          <w:lang w:eastAsia="es-MX"/>
        </w:rPr>
        <w:lastRenderedPageBreak/>
        <w:t>violaciones graves a derechos humanos, determinada por la instancia correspondiente o en proceso de investigación, los delitos de lessa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A03749" w:rsidRPr="00A03749" w:rsidRDefault="00A03749" w:rsidP="004E1411">
      <w:pPr>
        <w:keepNext/>
        <w:keepLines/>
        <w:numPr>
          <w:ilvl w:val="0"/>
          <w:numId w:val="3"/>
        </w:numPr>
        <w:tabs>
          <w:tab w:val="left" w:pos="142"/>
        </w:tabs>
        <w:spacing w:before="40" w:after="0"/>
        <w:ind w:left="0" w:firstLine="0"/>
        <w:outlineLvl w:val="1"/>
        <w:rPr>
          <w:rFonts w:ascii="Palatino Linotype" w:eastAsiaTheme="majorEastAsia" w:hAnsi="Palatino Linotype" w:cstheme="majorBidi"/>
          <w:b/>
          <w:sz w:val="24"/>
          <w:szCs w:val="26"/>
        </w:rPr>
      </w:pPr>
      <w:bookmarkStart w:id="7" w:name="_Toc485891456"/>
      <w:bookmarkStart w:id="8" w:name="_Toc3895620"/>
      <w:r w:rsidRPr="00A03749">
        <w:rPr>
          <w:rFonts w:ascii="Palatino Linotype" w:eastAsiaTheme="majorEastAsia" w:hAnsi="Palatino Linotype" w:cstheme="majorBidi"/>
          <w:b/>
          <w:sz w:val="24"/>
          <w:szCs w:val="26"/>
        </w:rPr>
        <w:t>La intervención del Comité de Transparencia.</w:t>
      </w:r>
      <w:bookmarkEnd w:id="7"/>
      <w:bookmarkEnd w:id="8"/>
    </w:p>
    <w:p w:rsidR="00A03749" w:rsidRPr="00A03749" w:rsidRDefault="00A03749" w:rsidP="004E1411">
      <w:pPr>
        <w:tabs>
          <w:tab w:val="left" w:pos="142"/>
        </w:tabs>
        <w:spacing w:line="360" w:lineRule="auto"/>
        <w:contextualSpacing/>
        <w:jc w:val="both"/>
        <w:rPr>
          <w:rFonts w:ascii="Palatino Linotype" w:hAnsi="Palatino Linotype" w:cs="Arial"/>
          <w:b/>
          <w:color w:val="000000" w:themeColor="text1"/>
          <w:sz w:val="24"/>
          <w:szCs w:val="24"/>
        </w:rPr>
      </w:pPr>
    </w:p>
    <w:p w:rsidR="00A03749" w:rsidRPr="00A03749" w:rsidRDefault="00A03749" w:rsidP="004E1411">
      <w:pPr>
        <w:keepNext/>
        <w:keepLines/>
        <w:numPr>
          <w:ilvl w:val="0"/>
          <w:numId w:val="4"/>
        </w:numPr>
        <w:tabs>
          <w:tab w:val="left" w:pos="142"/>
        </w:tabs>
        <w:spacing w:before="40" w:after="0"/>
        <w:ind w:left="0" w:firstLine="0"/>
        <w:outlineLvl w:val="2"/>
        <w:rPr>
          <w:rFonts w:ascii="Palatino Linotype" w:eastAsiaTheme="majorEastAsia" w:hAnsi="Palatino Linotype" w:cstheme="majorBidi"/>
          <w:b/>
          <w:sz w:val="24"/>
          <w:szCs w:val="24"/>
        </w:rPr>
      </w:pPr>
      <w:bookmarkStart w:id="9" w:name="_Toc3895621"/>
      <w:r w:rsidRPr="00A03749">
        <w:rPr>
          <w:rFonts w:ascii="Palatino Linotype" w:eastAsiaTheme="majorEastAsia" w:hAnsi="Palatino Linotype" w:cstheme="majorBidi"/>
          <w:b/>
          <w:sz w:val="24"/>
          <w:szCs w:val="24"/>
        </w:rPr>
        <w:t>Formalidades para emitir el acuerdo de clasificación.</w:t>
      </w:r>
      <w:bookmarkEnd w:id="9"/>
    </w:p>
    <w:p w:rsidR="00A03749" w:rsidRPr="00A03749" w:rsidRDefault="00A03749" w:rsidP="004E1411">
      <w:pPr>
        <w:tabs>
          <w:tab w:val="left" w:pos="142"/>
        </w:tabs>
        <w:spacing w:line="360" w:lineRule="auto"/>
        <w:contextualSpacing/>
        <w:jc w:val="both"/>
        <w:rPr>
          <w:rFonts w:ascii="Palatino Linotype" w:hAnsi="Palatino Linotype" w:cs="Arial"/>
          <w:b/>
          <w:color w:val="000000" w:themeColor="text1"/>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eastAsia="Times New Roman" w:hAnsi="Palatino Linotype" w:cs="Times New Roman"/>
          <w:sz w:val="24"/>
          <w:szCs w:val="24"/>
          <w:lang w:val="es-ES_tradnl" w:eastAsia="es-ES_tradnl"/>
        </w:rPr>
      </w:pPr>
      <w:r w:rsidRPr="00A03749">
        <w:rPr>
          <w:rFonts w:ascii="Palatino Linotype" w:hAnsi="Palatino Linotype" w:cs="Arial"/>
          <w:color w:val="000000" w:themeColor="text1"/>
          <w:sz w:val="24"/>
          <w:szCs w:val="24"/>
        </w:rPr>
        <w:t xml:space="preserve">El Comité de Transparencia, según lo dispuesto en los artículos 128 y 103 de la Ley Estatal y de la Ley General, respectivamente, y </w:t>
      </w:r>
      <w:r w:rsidRPr="00A03749">
        <w:rPr>
          <w:rFonts w:ascii="Palatino Linotype" w:hAnsi="Palatino Linotype"/>
          <w:sz w:val="24"/>
          <w:szCs w:val="24"/>
        </w:rPr>
        <w:t xml:space="preserve">la fracción III del numeral Segundo de los </w:t>
      </w:r>
      <w:r w:rsidRPr="00A03749">
        <w:rPr>
          <w:rFonts w:ascii="Palatino Linotype" w:hAnsi="Palatino Linotype" w:cs="Arial"/>
          <w:color w:val="000000" w:themeColor="text1"/>
          <w:sz w:val="24"/>
          <w:szCs w:val="24"/>
        </w:rPr>
        <w:t>Lineamientos generales en materia de clasificación y desclasificación de la información, así como para la elaboración de versiones públicas, en adelante los Lineamientos Generales,</w:t>
      </w:r>
      <w:r w:rsidRPr="00A03749">
        <w:rPr>
          <w:rFonts w:ascii="Palatino Linotype" w:hAnsi="Palatino Linotype"/>
          <w:sz w:val="24"/>
          <w:szCs w:val="24"/>
        </w:rPr>
        <w:t xml:space="preserve"> </w:t>
      </w:r>
      <w:r w:rsidRPr="00A03749">
        <w:rPr>
          <w:rFonts w:ascii="Palatino Linotype" w:hAnsi="Palatino Linotype" w:cs="Arial"/>
          <w:color w:val="000000" w:themeColor="text1"/>
          <w:sz w:val="24"/>
          <w:szCs w:val="24"/>
        </w:rPr>
        <w:t xml:space="preserve">cuenta con las facultades para confirmar, modificar o revocar la clasificación de la información que ha hecho el titular del área que administra la información. Por lo tanto, el Comité no aprueba la clasificación, sino </w:t>
      </w:r>
      <w:r w:rsidRPr="00A03749">
        <w:rPr>
          <w:rFonts w:ascii="Palatino Linotype" w:hAnsi="Palatino Linotype" w:cs="Arial"/>
          <w:color w:val="000000" w:themeColor="text1"/>
          <w:sz w:val="24"/>
          <w:szCs w:val="24"/>
        </w:rPr>
        <w:lastRenderedPageBreak/>
        <w:t>que revisa lo que ha hecho el titular del área y confirma, modifica o revoca la decisión a través de un acuerdo.</w:t>
      </w:r>
    </w:p>
    <w:p w:rsidR="00A03749" w:rsidRPr="00A03749" w:rsidRDefault="00A03749" w:rsidP="004E1411">
      <w:pPr>
        <w:tabs>
          <w:tab w:val="left" w:pos="142"/>
        </w:tabs>
        <w:spacing w:line="360" w:lineRule="auto"/>
        <w:contextualSpacing/>
        <w:jc w:val="both"/>
        <w:rPr>
          <w:rFonts w:ascii="Palatino Linotype" w:hAnsi="Palatino Linotype" w:cs="Arial"/>
          <w:color w:val="000000" w:themeColor="text1"/>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cs="Arial"/>
          <w:color w:val="000000" w:themeColor="text1"/>
          <w:sz w:val="24"/>
          <w:szCs w:val="24"/>
        </w:rPr>
      </w:pPr>
      <w:r w:rsidRPr="00A03749">
        <w:rPr>
          <w:rFonts w:ascii="Palatino Linotype" w:hAnsi="Palatino Linotype" w:cs="Arial"/>
          <w:color w:val="000000" w:themeColor="text1"/>
          <w:sz w:val="24"/>
          <w:szCs w:val="24"/>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A03749" w:rsidRPr="00A03749" w:rsidRDefault="00A03749" w:rsidP="004E1411">
      <w:pPr>
        <w:tabs>
          <w:tab w:val="left" w:pos="142"/>
        </w:tabs>
        <w:spacing w:line="360" w:lineRule="auto"/>
        <w:jc w:val="both"/>
        <w:rPr>
          <w:rFonts w:ascii="Palatino Linotype" w:hAnsi="Palatino Linotype"/>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A03749">
        <w:rPr>
          <w:rFonts w:ascii="Palatino Linotype" w:hAnsi="Palatino Linotype"/>
          <w:sz w:val="24"/>
          <w:szCs w:val="24"/>
        </w:rPr>
        <w:lastRenderedPageBreak/>
        <w:t xml:space="preserve">por los titulares de áreas y que son sujetas a control, en primera instancia, por el Comité de Transparencia. </w:t>
      </w:r>
    </w:p>
    <w:p w:rsidR="00A03749" w:rsidRPr="00A03749" w:rsidRDefault="00A03749" w:rsidP="004E1411">
      <w:pPr>
        <w:tabs>
          <w:tab w:val="left" w:pos="142"/>
        </w:tabs>
        <w:spacing w:line="360" w:lineRule="auto"/>
        <w:jc w:val="both"/>
        <w:rPr>
          <w:rFonts w:ascii="Palatino Linotype" w:hAnsi="Palatino Linotype"/>
          <w:sz w:val="24"/>
          <w:szCs w:val="24"/>
        </w:rPr>
      </w:pPr>
    </w:p>
    <w:p w:rsidR="00A03749" w:rsidRPr="00A03749" w:rsidRDefault="00A03749" w:rsidP="004E1411">
      <w:pPr>
        <w:keepNext/>
        <w:keepLines/>
        <w:numPr>
          <w:ilvl w:val="0"/>
          <w:numId w:val="4"/>
        </w:numPr>
        <w:tabs>
          <w:tab w:val="left" w:pos="142"/>
        </w:tabs>
        <w:spacing w:before="40" w:after="0"/>
        <w:ind w:left="0" w:firstLine="0"/>
        <w:outlineLvl w:val="2"/>
        <w:rPr>
          <w:rFonts w:ascii="Palatino Linotype" w:eastAsiaTheme="majorEastAsia" w:hAnsi="Palatino Linotype" w:cstheme="majorBidi"/>
          <w:b/>
          <w:sz w:val="24"/>
          <w:szCs w:val="24"/>
        </w:rPr>
      </w:pPr>
      <w:bookmarkStart w:id="10" w:name="_Toc3895622"/>
      <w:r w:rsidRPr="00A03749">
        <w:rPr>
          <w:rFonts w:ascii="Palatino Linotype" w:eastAsiaTheme="majorEastAsia" w:hAnsi="Palatino Linotype" w:cstheme="majorBidi"/>
          <w:b/>
          <w:sz w:val="24"/>
          <w:szCs w:val="24"/>
        </w:rPr>
        <w:t>Requisitos de fondo del acuerdo de clasificación</w:t>
      </w:r>
      <w:bookmarkEnd w:id="10"/>
    </w:p>
    <w:p w:rsidR="00A03749" w:rsidRPr="00A03749" w:rsidRDefault="00A03749" w:rsidP="004E1411">
      <w:pPr>
        <w:tabs>
          <w:tab w:val="left" w:pos="142"/>
        </w:tabs>
        <w:spacing w:line="360" w:lineRule="auto"/>
        <w:contextualSpacing/>
        <w:jc w:val="both"/>
        <w:rPr>
          <w:rFonts w:ascii="Palatino Linotype" w:hAnsi="Palatino Linotype" w:cs="Arial"/>
          <w:b/>
          <w:color w:val="000000" w:themeColor="text1"/>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cs="Arial"/>
          <w:color w:val="000000" w:themeColor="text1"/>
          <w:sz w:val="24"/>
          <w:szCs w:val="24"/>
        </w:rPr>
      </w:pPr>
      <w:r w:rsidRPr="00A03749">
        <w:rPr>
          <w:rFonts w:ascii="Palatino Linotype"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A03749" w:rsidRPr="00A03749" w:rsidRDefault="00A03749" w:rsidP="004E1411">
      <w:pPr>
        <w:tabs>
          <w:tab w:val="left" w:pos="142"/>
        </w:tabs>
        <w:spacing w:line="360" w:lineRule="auto"/>
        <w:contextualSpacing/>
        <w:jc w:val="both"/>
        <w:rPr>
          <w:rFonts w:ascii="Palatino Linotype" w:hAnsi="Palatino Linotype"/>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03749" w:rsidRPr="00A03749" w:rsidRDefault="00A03749" w:rsidP="004E1411">
      <w:pPr>
        <w:tabs>
          <w:tab w:val="left" w:pos="142"/>
        </w:tabs>
        <w:spacing w:line="360" w:lineRule="auto"/>
        <w:contextualSpacing/>
        <w:jc w:val="both"/>
        <w:rPr>
          <w:rFonts w:ascii="Palatino Linotype" w:hAnsi="Palatino Linotype" w:cs="Arial"/>
          <w:color w:val="000000" w:themeColor="text1"/>
          <w:sz w:val="24"/>
          <w:szCs w:val="24"/>
        </w:rPr>
      </w:pPr>
    </w:p>
    <w:p w:rsidR="00A03749" w:rsidRPr="00A03749" w:rsidRDefault="00A03749" w:rsidP="004E1411">
      <w:pPr>
        <w:keepNext/>
        <w:keepLines/>
        <w:numPr>
          <w:ilvl w:val="0"/>
          <w:numId w:val="3"/>
        </w:numPr>
        <w:tabs>
          <w:tab w:val="left" w:pos="142"/>
        </w:tabs>
        <w:spacing w:before="40" w:after="0"/>
        <w:ind w:left="0" w:firstLine="0"/>
        <w:outlineLvl w:val="1"/>
        <w:rPr>
          <w:rFonts w:ascii="Palatino Linotype" w:eastAsiaTheme="majorEastAsia" w:hAnsi="Palatino Linotype" w:cstheme="majorBidi"/>
          <w:b/>
          <w:sz w:val="24"/>
          <w:szCs w:val="24"/>
        </w:rPr>
      </w:pPr>
      <w:bookmarkStart w:id="11" w:name="_Toc485891457"/>
      <w:bookmarkStart w:id="12" w:name="_Toc3895623"/>
      <w:r w:rsidRPr="00A03749">
        <w:rPr>
          <w:rFonts w:ascii="Palatino Linotype" w:eastAsiaTheme="majorEastAsia" w:hAnsi="Palatino Linotype" w:cstheme="majorBidi"/>
          <w:b/>
          <w:sz w:val="24"/>
          <w:szCs w:val="24"/>
        </w:rPr>
        <w:lastRenderedPageBreak/>
        <w:t>Condiciones especiales de la clasificación de la información como reservada</w:t>
      </w:r>
      <w:bookmarkEnd w:id="11"/>
      <w:bookmarkEnd w:id="12"/>
      <w:r w:rsidRPr="00A03749">
        <w:rPr>
          <w:rFonts w:ascii="Palatino Linotype" w:eastAsiaTheme="majorEastAsia" w:hAnsi="Palatino Linotype" w:cstheme="majorBidi"/>
          <w:b/>
          <w:sz w:val="24"/>
          <w:szCs w:val="24"/>
        </w:rPr>
        <w:t xml:space="preserve"> </w:t>
      </w:r>
    </w:p>
    <w:p w:rsidR="00A03749" w:rsidRPr="00A03749" w:rsidRDefault="00A03749" w:rsidP="004E1411">
      <w:pPr>
        <w:tabs>
          <w:tab w:val="left" w:pos="142"/>
        </w:tabs>
        <w:spacing w:line="360" w:lineRule="auto"/>
        <w:contextualSpacing/>
        <w:jc w:val="both"/>
        <w:rPr>
          <w:rFonts w:ascii="Palatino Linotype" w:hAnsi="Palatino Linotype" w:cs="Arial"/>
          <w:b/>
          <w:color w:val="000000" w:themeColor="text1"/>
          <w:sz w:val="24"/>
          <w:szCs w:val="24"/>
        </w:rPr>
      </w:pPr>
    </w:p>
    <w:p w:rsidR="00A03749" w:rsidRPr="00A03749" w:rsidRDefault="00A03749" w:rsidP="004E1411">
      <w:pPr>
        <w:keepNext/>
        <w:keepLines/>
        <w:numPr>
          <w:ilvl w:val="0"/>
          <w:numId w:val="5"/>
        </w:numPr>
        <w:tabs>
          <w:tab w:val="left" w:pos="142"/>
        </w:tabs>
        <w:spacing w:before="40" w:after="0"/>
        <w:ind w:left="0" w:firstLine="0"/>
        <w:outlineLvl w:val="2"/>
        <w:rPr>
          <w:rFonts w:ascii="Palatino Linotype" w:eastAsiaTheme="majorEastAsia" w:hAnsi="Palatino Linotype" w:cstheme="majorBidi"/>
          <w:b/>
          <w:sz w:val="24"/>
          <w:szCs w:val="24"/>
        </w:rPr>
      </w:pPr>
      <w:bookmarkStart w:id="13" w:name="_Toc3895624"/>
      <w:r w:rsidRPr="00A03749">
        <w:rPr>
          <w:rFonts w:ascii="Palatino Linotype" w:eastAsiaTheme="majorEastAsia" w:hAnsi="Palatino Linotype" w:cstheme="majorBidi"/>
          <w:b/>
          <w:sz w:val="24"/>
          <w:szCs w:val="24"/>
        </w:rPr>
        <w:t>La fundamentación específica</w:t>
      </w:r>
      <w:bookmarkEnd w:id="13"/>
    </w:p>
    <w:p w:rsidR="00A03749" w:rsidRPr="00A03749" w:rsidRDefault="00A03749" w:rsidP="004E1411">
      <w:pPr>
        <w:tabs>
          <w:tab w:val="left" w:pos="142"/>
        </w:tabs>
        <w:spacing w:line="360" w:lineRule="auto"/>
        <w:contextualSpacing/>
        <w:jc w:val="both"/>
        <w:rPr>
          <w:rFonts w:ascii="Palatino Linotype" w:hAnsi="Palatino Linotype" w:cs="Arial"/>
          <w:color w:val="000000" w:themeColor="text1"/>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cs="Arial"/>
          <w:color w:val="000000" w:themeColor="text1"/>
          <w:sz w:val="24"/>
          <w:szCs w:val="24"/>
        </w:rPr>
      </w:pPr>
      <w:r w:rsidRPr="00A03749">
        <w:rPr>
          <w:rFonts w:ascii="Palatino Linotype" w:hAnsi="Palatino Linotype" w:cs="Arial"/>
          <w:color w:val="000000" w:themeColor="text1"/>
          <w:sz w:val="24"/>
          <w:szCs w:val="24"/>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A03749" w:rsidRPr="00A03749" w:rsidRDefault="00A03749" w:rsidP="004E1411">
      <w:pPr>
        <w:keepNext/>
        <w:keepLines/>
        <w:numPr>
          <w:ilvl w:val="0"/>
          <w:numId w:val="5"/>
        </w:numPr>
        <w:tabs>
          <w:tab w:val="left" w:pos="142"/>
        </w:tabs>
        <w:spacing w:before="40" w:after="0"/>
        <w:ind w:left="0" w:firstLine="0"/>
        <w:outlineLvl w:val="2"/>
        <w:rPr>
          <w:rFonts w:ascii="Palatino Linotype" w:eastAsiaTheme="majorEastAsia" w:hAnsi="Palatino Linotype" w:cstheme="majorBidi"/>
          <w:b/>
          <w:sz w:val="24"/>
          <w:szCs w:val="24"/>
        </w:rPr>
      </w:pPr>
      <w:bookmarkStart w:id="14" w:name="_Toc3895625"/>
      <w:r w:rsidRPr="00A03749">
        <w:rPr>
          <w:rFonts w:ascii="Palatino Linotype" w:eastAsiaTheme="majorEastAsia" w:hAnsi="Palatino Linotype" w:cstheme="majorBidi"/>
          <w:b/>
          <w:sz w:val="24"/>
          <w:szCs w:val="24"/>
        </w:rPr>
        <w:t>La prueba de daño</w:t>
      </w:r>
      <w:bookmarkEnd w:id="14"/>
    </w:p>
    <w:p w:rsidR="00A03749" w:rsidRPr="00A03749" w:rsidRDefault="00A03749" w:rsidP="004E1411">
      <w:pPr>
        <w:tabs>
          <w:tab w:val="left" w:pos="142"/>
        </w:tabs>
        <w:spacing w:line="360" w:lineRule="auto"/>
        <w:contextualSpacing/>
        <w:jc w:val="both"/>
        <w:rPr>
          <w:rFonts w:ascii="Palatino Linotype" w:hAnsi="Palatino Linotype"/>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w:t>
      </w:r>
      <w:r w:rsidRPr="00A03749">
        <w:rPr>
          <w:rFonts w:ascii="Palatino Linotype" w:hAnsi="Palatino Linotype"/>
          <w:sz w:val="24"/>
          <w:szCs w:val="24"/>
        </w:rPr>
        <w:lastRenderedPageBreak/>
        <w:t>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A03749" w:rsidRPr="00A03749" w:rsidRDefault="00A03749" w:rsidP="004E1411">
      <w:pPr>
        <w:tabs>
          <w:tab w:val="left" w:pos="142"/>
        </w:tabs>
        <w:spacing w:line="360" w:lineRule="auto"/>
        <w:contextualSpacing/>
        <w:jc w:val="both"/>
        <w:rPr>
          <w:rFonts w:ascii="Palatino Linotype" w:hAnsi="Palatino Linotype"/>
          <w:sz w:val="24"/>
          <w:szCs w:val="24"/>
        </w:rPr>
      </w:pPr>
    </w:p>
    <w:p w:rsid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Para aplicar la prueba de daño, se deberán de precisar la razones objetivas por las que la apertura genera una afectación, acreditando que:</w:t>
      </w:r>
    </w:p>
    <w:p w:rsidR="001B5640" w:rsidRDefault="001B5640" w:rsidP="004E1411">
      <w:pPr>
        <w:widowControl w:val="0"/>
        <w:tabs>
          <w:tab w:val="left" w:pos="142"/>
        </w:tabs>
        <w:autoSpaceDE w:val="0"/>
        <w:autoSpaceDN w:val="0"/>
        <w:adjustRightInd w:val="0"/>
        <w:spacing w:after="240" w:line="360" w:lineRule="auto"/>
        <w:ind w:right="616"/>
        <w:jc w:val="both"/>
        <w:rPr>
          <w:rFonts w:ascii="Palatino Linotype" w:hAnsi="Palatino Linotype" w:cs="Bookman Old Style"/>
          <w:bCs/>
          <w:i/>
          <w:color w:val="000000"/>
          <w:lang w:val="es-ES_tradnl"/>
        </w:rPr>
      </w:pPr>
    </w:p>
    <w:p w:rsidR="00A03749" w:rsidRPr="00A03749" w:rsidRDefault="00A03749" w:rsidP="004E1411">
      <w:pPr>
        <w:widowControl w:val="0"/>
        <w:tabs>
          <w:tab w:val="left" w:pos="142"/>
        </w:tabs>
        <w:autoSpaceDE w:val="0"/>
        <w:autoSpaceDN w:val="0"/>
        <w:adjustRightInd w:val="0"/>
        <w:spacing w:after="240" w:line="360" w:lineRule="auto"/>
        <w:ind w:right="616"/>
        <w:jc w:val="both"/>
        <w:rPr>
          <w:rFonts w:ascii="Palatino Linotype" w:hAnsi="Palatino Linotype" w:cs="Times"/>
          <w:i/>
          <w:color w:val="000000"/>
          <w:lang w:val="es-ES_tradnl"/>
        </w:rPr>
      </w:pPr>
      <w:r w:rsidRPr="00A03749">
        <w:rPr>
          <w:rFonts w:ascii="Palatino Linotype" w:hAnsi="Palatino Linotype" w:cs="Bookman Old Style"/>
          <w:bCs/>
          <w:i/>
          <w:color w:val="000000"/>
          <w:lang w:val="es-ES_tradnl"/>
        </w:rPr>
        <w:t xml:space="preserve">I. </w:t>
      </w:r>
      <w:r w:rsidRPr="00A03749">
        <w:rPr>
          <w:rFonts w:ascii="Palatino Linotype" w:hAnsi="Palatino Linotype" w:cs="Bookman Old Style"/>
          <w:i/>
          <w:color w:val="000000"/>
          <w:lang w:val="es-ES_tradnl"/>
        </w:rPr>
        <w:t>La divulgación de la información representa un riesgo real, demostrable e identificable del perjuicio significativo al interés público o a la seguridad pública;</w:t>
      </w:r>
    </w:p>
    <w:p w:rsidR="00A03749" w:rsidRPr="00A03749" w:rsidRDefault="00A03749" w:rsidP="004E1411">
      <w:pPr>
        <w:widowControl w:val="0"/>
        <w:tabs>
          <w:tab w:val="left" w:pos="142"/>
        </w:tabs>
        <w:autoSpaceDE w:val="0"/>
        <w:autoSpaceDN w:val="0"/>
        <w:adjustRightInd w:val="0"/>
        <w:spacing w:after="240" w:line="360" w:lineRule="auto"/>
        <w:ind w:right="616"/>
        <w:jc w:val="both"/>
        <w:rPr>
          <w:rFonts w:ascii="Palatino Linotype" w:hAnsi="Palatino Linotype" w:cs="Times"/>
          <w:i/>
          <w:color w:val="000000"/>
          <w:lang w:val="es-ES_tradnl"/>
        </w:rPr>
      </w:pPr>
      <w:r w:rsidRPr="00A03749">
        <w:rPr>
          <w:rFonts w:ascii="Palatino Linotype" w:hAnsi="Palatino Linotype" w:cs="Bookman Old Style"/>
          <w:bCs/>
          <w:i/>
          <w:color w:val="000000"/>
          <w:lang w:val="es-ES_tradnl"/>
        </w:rPr>
        <w:t xml:space="preserve">II. </w:t>
      </w:r>
      <w:r w:rsidRPr="00A03749">
        <w:rPr>
          <w:rFonts w:ascii="Palatino Linotype" w:hAnsi="Palatino Linotype" w:cs="Bookman Old Style"/>
          <w:i/>
          <w:color w:val="000000"/>
          <w:lang w:val="es-ES_tradnl"/>
        </w:rPr>
        <w:t>El riesgo de perjuicio que supondría la divulgación supera el interés público general de que se difunda; y</w:t>
      </w:r>
    </w:p>
    <w:p w:rsidR="00A03749" w:rsidRPr="00A03749" w:rsidRDefault="00A03749" w:rsidP="004E1411">
      <w:pPr>
        <w:widowControl w:val="0"/>
        <w:tabs>
          <w:tab w:val="left" w:pos="142"/>
        </w:tabs>
        <w:autoSpaceDE w:val="0"/>
        <w:autoSpaceDN w:val="0"/>
        <w:adjustRightInd w:val="0"/>
        <w:spacing w:after="240" w:line="360" w:lineRule="auto"/>
        <w:ind w:right="616"/>
        <w:jc w:val="both"/>
        <w:rPr>
          <w:rFonts w:ascii="Palatino Linotype" w:hAnsi="Palatino Linotype" w:cs="Times"/>
          <w:i/>
          <w:color w:val="000000"/>
          <w:lang w:val="es-ES_tradnl"/>
        </w:rPr>
      </w:pPr>
      <w:r w:rsidRPr="00A03749">
        <w:rPr>
          <w:rFonts w:ascii="Palatino Linotype" w:hAnsi="Palatino Linotype" w:cs="Bookman Old Style"/>
          <w:bCs/>
          <w:i/>
          <w:color w:val="000000"/>
          <w:lang w:val="es-ES_tradnl"/>
        </w:rPr>
        <w:t xml:space="preserve">III. </w:t>
      </w:r>
      <w:r w:rsidRPr="00A03749">
        <w:rPr>
          <w:rFonts w:ascii="Palatino Linotype" w:hAnsi="Palatino Linotype" w:cs="Bookman Old Style"/>
          <w:i/>
          <w:color w:val="000000"/>
          <w:lang w:val="es-ES_tradnl"/>
        </w:rPr>
        <w:t>La limitación se adecua al principio de proporcionali</w:t>
      </w:r>
      <w:r w:rsidR="008809CF">
        <w:rPr>
          <w:rFonts w:ascii="Palatino Linotype" w:hAnsi="Palatino Linotype" w:cs="Bookman Old Style"/>
          <w:i/>
          <w:color w:val="000000"/>
          <w:lang w:val="es-ES_tradnl"/>
        </w:rPr>
        <w:t xml:space="preserve">dad y representa el medio menos </w:t>
      </w:r>
      <w:r w:rsidRPr="00A03749">
        <w:rPr>
          <w:rFonts w:ascii="Palatino Linotype" w:hAnsi="Palatino Linotype" w:cs="Bookman Old Style"/>
          <w:i/>
          <w:color w:val="000000"/>
          <w:lang w:val="es-ES_tradnl"/>
        </w:rPr>
        <w:t>restrictivo disponible para evitar el perjuicio.</w:t>
      </w:r>
    </w:p>
    <w:p w:rsidR="00A03749" w:rsidRPr="00A03749" w:rsidRDefault="00A03749" w:rsidP="004E1411">
      <w:pPr>
        <w:numPr>
          <w:ilvl w:val="0"/>
          <w:numId w:val="1"/>
        </w:numPr>
        <w:shd w:val="clear" w:color="auto" w:fill="FFFFFF"/>
        <w:tabs>
          <w:tab w:val="left" w:pos="142"/>
        </w:tabs>
        <w:suppressAutoHyphens/>
        <w:spacing w:before="100" w:beforeAutospacing="1" w:after="100" w:afterAutospacing="1" w:line="360" w:lineRule="auto"/>
        <w:ind w:left="0" w:firstLine="0"/>
        <w:jc w:val="both"/>
        <w:textAlignment w:val="baseline"/>
        <w:rPr>
          <w:rFonts w:ascii="Palatino Linotype" w:hAnsi="Palatino Linotype" w:cs="Times New Roman"/>
          <w:sz w:val="24"/>
          <w:szCs w:val="24"/>
          <w:lang w:val="es-ES_tradnl" w:eastAsia="es-ES_tradnl"/>
        </w:rPr>
      </w:pPr>
      <w:r w:rsidRPr="00A03749">
        <w:rPr>
          <w:rFonts w:ascii="Palatino Linotype" w:hAnsi="Palatino Linotype" w:cs="Times New Roman"/>
          <w:sz w:val="24"/>
          <w:szCs w:val="24"/>
          <w:lang w:val="es-ES_tradnl" w:eastAsia="es-ES_tradnl"/>
        </w:rPr>
        <w:t>Sobre el primer supuesto consideremos que según el diccionario del español jurídico, por riesgo podemos entender “la contingencia o proximidad de un daño”,</w:t>
      </w:r>
      <w:r w:rsidRPr="00A03749">
        <w:rPr>
          <w:rFonts w:ascii="Palatino Linotype" w:hAnsi="Palatino Linotype" w:cs="Times New Roman"/>
          <w:sz w:val="24"/>
          <w:szCs w:val="24"/>
          <w:vertAlign w:val="superscript"/>
          <w:lang w:val="es-ES_tradnl" w:eastAsia="es-ES_tradnl"/>
        </w:rPr>
        <w:footnoteReference w:id="4"/>
      </w:r>
      <w:r w:rsidRPr="00A03749">
        <w:rPr>
          <w:rFonts w:ascii="Palatino Linotype" w:hAnsi="Palatino Linotype" w:cs="Times New Roman"/>
          <w:sz w:val="24"/>
          <w:szCs w:val="24"/>
          <w:lang w:val="es-ES_tradnl" w:eastAsia="es-ES_tradnl"/>
        </w:rPr>
        <w:t xml:space="preserve"> mientras que el daño es considerado como un “perjuicio o lesión”</w:t>
      </w:r>
      <w:r w:rsidRPr="00A03749">
        <w:rPr>
          <w:rFonts w:ascii="Palatino Linotype" w:hAnsi="Palatino Linotype" w:cs="Times New Roman"/>
          <w:sz w:val="24"/>
          <w:szCs w:val="24"/>
          <w:vertAlign w:val="superscript"/>
          <w:lang w:val="es-ES_tradnl" w:eastAsia="es-ES_tradnl"/>
        </w:rPr>
        <w:footnoteReference w:id="5"/>
      </w:r>
      <w:r w:rsidRPr="00A03749">
        <w:rPr>
          <w:rFonts w:ascii="Palatino Linotype" w:hAnsi="Palatino Linotype" w:cs="Times New Roman"/>
          <w:sz w:val="24"/>
          <w:szCs w:val="24"/>
          <w:lang w:val="es-ES_tradnl" w:eastAsia="es-ES_tradnl"/>
        </w:rPr>
        <w:t>, mientras que según el Diccionario de la Lengua Española, lo real es</w:t>
      </w:r>
      <w:r w:rsidRPr="00A03749">
        <w:rPr>
          <w:rFonts w:ascii="Palatino Linotype" w:eastAsia="Arial Unicode MS" w:hAnsi="Palatino Linotype" w:cs="Arial Unicode MS"/>
          <w:color w:val="000000"/>
          <w:spacing w:val="4"/>
          <w:sz w:val="24"/>
          <w:szCs w:val="24"/>
          <w:shd w:val="clear" w:color="auto" w:fill="FFFFFF"/>
          <w:lang w:val="es-ES_tradnl" w:eastAsia="es-ES_tradnl"/>
        </w:rPr>
        <w:t xml:space="preserve"> lo </w:t>
      </w:r>
      <w:r w:rsidRPr="00A03749">
        <w:rPr>
          <w:rFonts w:ascii="Palatino Linotype" w:eastAsia="Arial Unicode MS" w:hAnsi="Palatino Linotype" w:cs="Arial Unicode MS"/>
          <w:color w:val="000000"/>
          <w:spacing w:val="4"/>
          <w:sz w:val="24"/>
          <w:szCs w:val="24"/>
          <w:shd w:val="clear" w:color="auto" w:fill="FFFFFF"/>
          <w:lang w:val="es-ES_tradnl" w:eastAsia="es-ES_tradnl"/>
        </w:rPr>
        <w:lastRenderedPageBreak/>
        <w:t>“</w:t>
      </w:r>
      <w:r w:rsidRPr="00A03749">
        <w:rPr>
          <w:rFonts w:ascii="Palatino Linotype" w:eastAsia="Times New Roman" w:hAnsi="Palatino Linotype" w:cs="Times New Roman"/>
          <w:sz w:val="24"/>
          <w:szCs w:val="24"/>
          <w:lang w:val="es-ES_tradnl" w:eastAsia="es-ES_tradnl"/>
        </w:rPr>
        <w:t>(q)ue</w:t>
      </w:r>
      <w:r w:rsidRPr="00A03749">
        <w:rPr>
          <w:rFonts w:ascii="Palatino Linotype" w:eastAsia="Arial Unicode MS" w:hAnsi="Palatino Linotype" w:cs="Arial Unicode MS"/>
          <w:color w:val="000000"/>
          <w:spacing w:val="4"/>
          <w:sz w:val="24"/>
          <w:szCs w:val="24"/>
          <w:shd w:val="clear" w:color="auto" w:fill="FFFFFF"/>
          <w:lang w:val="es-ES_tradnl" w:eastAsia="es-ES_tradnl"/>
        </w:rPr>
        <w:t> </w:t>
      </w:r>
      <w:r w:rsidRPr="00A03749">
        <w:rPr>
          <w:rFonts w:ascii="Palatino Linotype" w:eastAsia="Times New Roman" w:hAnsi="Palatino Linotype" w:cs="Times New Roman"/>
          <w:sz w:val="24"/>
          <w:szCs w:val="24"/>
          <w:lang w:val="es-ES_tradnl" w:eastAsia="es-ES_tradnl"/>
        </w:rPr>
        <w:t>tiene</w:t>
      </w:r>
      <w:r w:rsidRPr="00A03749">
        <w:rPr>
          <w:rFonts w:ascii="Palatino Linotype" w:eastAsia="Arial Unicode MS" w:hAnsi="Palatino Linotype" w:cs="Arial Unicode MS"/>
          <w:color w:val="000000"/>
          <w:spacing w:val="4"/>
          <w:sz w:val="24"/>
          <w:szCs w:val="24"/>
          <w:shd w:val="clear" w:color="auto" w:fill="FFFFFF"/>
          <w:lang w:val="es-ES_tradnl" w:eastAsia="es-ES_tradnl"/>
        </w:rPr>
        <w:t> </w:t>
      </w:r>
      <w:r w:rsidRPr="00A03749">
        <w:rPr>
          <w:rFonts w:ascii="Palatino Linotype" w:eastAsia="Times New Roman" w:hAnsi="Palatino Linotype" w:cs="Times New Roman"/>
          <w:sz w:val="24"/>
          <w:szCs w:val="24"/>
          <w:lang w:val="es-ES_tradnl" w:eastAsia="es-ES_tradnl"/>
        </w:rPr>
        <w:t>existencia</w:t>
      </w:r>
      <w:r w:rsidRPr="00A03749">
        <w:rPr>
          <w:rFonts w:ascii="Palatino Linotype" w:eastAsia="Arial Unicode MS" w:hAnsi="Palatino Linotype" w:cs="Arial Unicode MS"/>
          <w:color w:val="000000"/>
          <w:spacing w:val="4"/>
          <w:sz w:val="24"/>
          <w:szCs w:val="24"/>
          <w:shd w:val="clear" w:color="auto" w:fill="FFFFFF"/>
          <w:lang w:val="es-ES_tradnl" w:eastAsia="es-ES_tradnl"/>
        </w:rPr>
        <w:t> </w:t>
      </w:r>
      <w:r w:rsidRPr="00A03749">
        <w:rPr>
          <w:rFonts w:ascii="Palatino Linotype" w:eastAsia="Times New Roman" w:hAnsi="Palatino Linotype" w:cs="Times New Roman"/>
          <w:sz w:val="24"/>
          <w:szCs w:val="24"/>
          <w:lang w:val="es-ES_tradnl" w:eastAsia="es-ES_tradnl"/>
        </w:rPr>
        <w:t>objetiva”,</w:t>
      </w:r>
      <w:r w:rsidRPr="00A03749">
        <w:rPr>
          <w:rFonts w:ascii="Palatino Linotype" w:eastAsia="Times New Roman" w:hAnsi="Palatino Linotype" w:cs="Times New Roman"/>
          <w:sz w:val="24"/>
          <w:szCs w:val="24"/>
          <w:vertAlign w:val="superscript"/>
          <w:lang w:val="es-ES_tradnl" w:eastAsia="es-ES_tradnl"/>
        </w:rPr>
        <w:footnoteReference w:id="6"/>
      </w:r>
      <w:r w:rsidRPr="00A03749">
        <w:rPr>
          <w:rFonts w:ascii="Palatino Linotype" w:eastAsia="Times New Roman" w:hAnsi="Palatino Linotype" w:cs="Times New Roman"/>
          <w:sz w:val="24"/>
          <w:szCs w:val="24"/>
          <w:lang w:val="es-ES_tradnl" w:eastAsia="es-ES_tradnl"/>
        </w:rPr>
        <w:t xml:space="preserve"> </w:t>
      </w:r>
      <w:r w:rsidRPr="00A03749">
        <w:rPr>
          <w:rFonts w:ascii="Palatino Linotype" w:eastAsia="Arial Unicode MS" w:hAnsi="Palatino Linotype" w:cs="Arial Unicode MS"/>
          <w:color w:val="000000"/>
          <w:spacing w:val="4"/>
          <w:sz w:val="24"/>
          <w:szCs w:val="24"/>
          <w:shd w:val="clear" w:color="auto" w:fill="FFFFFF"/>
          <w:lang w:val="es-ES_tradnl" w:eastAsia="es-ES_tradnl"/>
        </w:rPr>
        <w:t>mientras que lo demostrables es, según la misma fuente, aquello que se puede demostrar,</w:t>
      </w:r>
      <w:r w:rsidRPr="00A03749">
        <w:rPr>
          <w:rFonts w:ascii="Palatino Linotype" w:eastAsia="Arial Unicode MS" w:hAnsi="Palatino Linotype" w:cs="Arial Unicode MS"/>
          <w:color w:val="000000"/>
          <w:spacing w:val="4"/>
          <w:sz w:val="24"/>
          <w:szCs w:val="24"/>
          <w:shd w:val="clear" w:color="auto" w:fill="FFFFFF"/>
          <w:vertAlign w:val="superscript"/>
          <w:lang w:val="es-ES_tradnl" w:eastAsia="es-ES_tradnl"/>
        </w:rPr>
        <w:footnoteReference w:id="7"/>
      </w:r>
      <w:r w:rsidRPr="00A03749">
        <w:rPr>
          <w:rFonts w:ascii="Palatino Linotype" w:eastAsia="Arial Unicode MS" w:hAnsi="Palatino Linotype" w:cs="Arial Unicode MS"/>
          <w:color w:val="000000"/>
          <w:spacing w:val="4"/>
          <w:sz w:val="24"/>
          <w:szCs w:val="24"/>
          <w:shd w:val="clear" w:color="auto" w:fill="FFFFFF"/>
          <w:lang w:val="es-ES_tradnl" w:eastAsia="es-ES_tradnl"/>
        </w:rPr>
        <w:t xml:space="preserve"> es decir, </w:t>
      </w:r>
      <w:r w:rsidRPr="00A03749">
        <w:rPr>
          <w:rFonts w:ascii="Palatino Linotype" w:hAnsi="Palatino Linotype"/>
          <w:sz w:val="24"/>
          <w:szCs w:val="24"/>
        </w:rPr>
        <w:t>“(m)anifestar, declarar. Probar, sirviéndose de cualquier género de demostración, </w:t>
      </w:r>
      <w:hyperlink r:id="rId8" w:anchor="6nAyKjE" w:history="1">
        <w:r w:rsidRPr="00A03749">
          <w:rPr>
            <w:rFonts w:ascii="Palatino Linotype" w:hAnsi="Palatino Linotype"/>
            <w:sz w:val="24"/>
            <w:szCs w:val="24"/>
          </w:rPr>
          <w:t>enseñar</w:t>
        </w:r>
      </w:hyperlink>
      <w:r w:rsidRPr="00A03749">
        <w:rPr>
          <w:rFonts w:ascii="Palatino Linotype" w:hAnsi="Palatino Linotype"/>
          <w:sz w:val="24"/>
          <w:szCs w:val="24"/>
        </w:rPr>
        <w:t> mostrar o exponer algo)”.</w:t>
      </w:r>
      <w:r w:rsidRPr="00A03749">
        <w:rPr>
          <w:rFonts w:ascii="Palatino Linotype" w:hAnsi="Palatino Linotype"/>
          <w:sz w:val="24"/>
          <w:szCs w:val="24"/>
          <w:vertAlign w:val="superscript"/>
        </w:rPr>
        <w:footnoteReference w:id="8"/>
      </w:r>
      <w:r w:rsidRPr="00A03749">
        <w:rPr>
          <w:rFonts w:ascii="Palatino Linotype" w:hAnsi="Palatino Linotype"/>
          <w:sz w:val="24"/>
          <w:szCs w:val="24"/>
        </w:rPr>
        <w:t xml:space="preserve"> Mientras que lo identificable es lo que puede ser identificado,</w:t>
      </w:r>
      <w:r w:rsidRPr="00A03749">
        <w:rPr>
          <w:rFonts w:ascii="Palatino Linotype" w:hAnsi="Palatino Linotype"/>
          <w:sz w:val="24"/>
          <w:szCs w:val="24"/>
          <w:vertAlign w:val="superscript"/>
        </w:rPr>
        <w:footnoteReference w:id="9"/>
      </w:r>
      <w:r w:rsidRPr="00A03749">
        <w:rPr>
          <w:rFonts w:ascii="Palatino Linotype" w:hAnsi="Palatino Linotype"/>
          <w:sz w:val="24"/>
          <w:szCs w:val="24"/>
        </w:rPr>
        <w:t xml:space="preserve"> esto es,</w:t>
      </w:r>
      <w:r w:rsidRPr="00A03749">
        <w:rPr>
          <w:rFonts w:ascii="Palatino Linotype" w:hAnsi="Palatino Linotype"/>
          <w:sz w:val="24"/>
          <w:szCs w:val="24"/>
          <w:lang w:val="es-ES_tradnl" w:eastAsia="es-ES_tradnl"/>
        </w:rPr>
        <w:t>  “(d)ar los datos necesarios para ser reconocido”.</w:t>
      </w:r>
      <w:r w:rsidRPr="00A03749">
        <w:rPr>
          <w:rFonts w:ascii="Palatino Linotype" w:hAnsi="Palatino Linotype"/>
          <w:sz w:val="24"/>
          <w:szCs w:val="24"/>
          <w:vertAlign w:val="superscript"/>
          <w:lang w:val="es-ES_tradnl" w:eastAsia="es-ES_tradnl"/>
        </w:rPr>
        <w:footnoteReference w:id="10"/>
      </w:r>
    </w:p>
    <w:p w:rsidR="00A03749" w:rsidRPr="00A03749" w:rsidRDefault="00A03749" w:rsidP="004E1411">
      <w:pPr>
        <w:tabs>
          <w:tab w:val="left" w:pos="142"/>
        </w:tabs>
        <w:spacing w:line="360" w:lineRule="auto"/>
        <w:contextualSpacing/>
        <w:jc w:val="both"/>
        <w:rPr>
          <w:rFonts w:ascii="Palatino Linotype" w:hAnsi="Palatino Linotype"/>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A03749" w:rsidRPr="00A03749" w:rsidRDefault="00A03749" w:rsidP="004E1411">
      <w:pPr>
        <w:tabs>
          <w:tab w:val="left" w:pos="142"/>
        </w:tabs>
        <w:contextualSpacing/>
        <w:rPr>
          <w:rFonts w:ascii="Palatino Linotype" w:hAnsi="Palatino Linotype"/>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 xml:space="preserve">Identificado ese riesgo, se debe demostrar que el mismo supera el interés público general porque se difunda dicha información. </w:t>
      </w:r>
    </w:p>
    <w:p w:rsidR="00A03749" w:rsidRPr="00A03749" w:rsidRDefault="00A03749" w:rsidP="004E1411">
      <w:pPr>
        <w:tabs>
          <w:tab w:val="left" w:pos="142"/>
        </w:tabs>
        <w:spacing w:line="360" w:lineRule="auto"/>
        <w:contextualSpacing/>
        <w:jc w:val="both"/>
        <w:rPr>
          <w:rFonts w:ascii="Palatino Linotype" w:hAnsi="Palatino Linotype"/>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lastRenderedPageBreak/>
        <w:t>Y, por último,  que la limitación es acorde con el principio de proporcionalidad, para ello, se sugiere emplear los tres juicios propuestos por la Corte Constitucional Colombiana</w:t>
      </w:r>
      <w:r w:rsidRPr="00A03749">
        <w:rPr>
          <w:rFonts w:ascii="Palatino Linotype" w:hAnsi="Palatino Linotype"/>
          <w:sz w:val="24"/>
          <w:szCs w:val="24"/>
          <w:vertAlign w:val="superscript"/>
        </w:rPr>
        <w:footnoteReference w:id="11"/>
      </w:r>
      <w:r w:rsidRPr="00A03749">
        <w:rPr>
          <w:rFonts w:ascii="Palatino Linotype" w:hAnsi="Palatino Linotype"/>
          <w:sz w:val="24"/>
          <w:szCs w:val="24"/>
        </w:rPr>
        <w:t>, siguiendo el principio de ponderación propuesto por el Tribunal Constitucional Alemán,</w:t>
      </w:r>
      <w:r w:rsidRPr="00A03749">
        <w:rPr>
          <w:rFonts w:ascii="Palatino Linotype" w:hAnsi="Palatino Linotype"/>
          <w:sz w:val="24"/>
          <w:szCs w:val="24"/>
          <w:vertAlign w:val="superscript"/>
        </w:rPr>
        <w:footnoteReference w:id="12"/>
      </w:r>
      <w:r w:rsidRPr="00A03749">
        <w:rPr>
          <w:rFonts w:ascii="Palatino Linotype" w:hAnsi="Palatino Linotype"/>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A03749" w:rsidRPr="00A03749" w:rsidRDefault="00A03749" w:rsidP="004E1411">
      <w:pPr>
        <w:tabs>
          <w:tab w:val="left" w:pos="142"/>
        </w:tabs>
        <w:contextualSpacing/>
        <w:rPr>
          <w:rFonts w:ascii="Palatino Linotype" w:hAnsi="Palatino Linotype"/>
          <w:sz w:val="24"/>
          <w:szCs w:val="24"/>
        </w:rPr>
      </w:pPr>
    </w:p>
    <w:p w:rsidR="00A03749" w:rsidRPr="00A03749" w:rsidRDefault="00A03749" w:rsidP="004E1411">
      <w:pPr>
        <w:keepNext/>
        <w:keepLines/>
        <w:numPr>
          <w:ilvl w:val="0"/>
          <w:numId w:val="5"/>
        </w:numPr>
        <w:tabs>
          <w:tab w:val="left" w:pos="142"/>
        </w:tabs>
        <w:spacing w:before="40" w:after="0"/>
        <w:ind w:left="0" w:firstLine="0"/>
        <w:outlineLvl w:val="2"/>
        <w:rPr>
          <w:rFonts w:ascii="Palatino Linotype" w:eastAsiaTheme="majorEastAsia" w:hAnsi="Palatino Linotype" w:cstheme="majorBidi"/>
          <w:b/>
          <w:sz w:val="24"/>
          <w:szCs w:val="24"/>
        </w:rPr>
      </w:pPr>
      <w:bookmarkStart w:id="15" w:name="_Toc3895626"/>
      <w:r w:rsidRPr="00A03749">
        <w:rPr>
          <w:rFonts w:ascii="Palatino Linotype" w:eastAsiaTheme="majorEastAsia" w:hAnsi="Palatino Linotype" w:cstheme="majorBidi"/>
          <w:b/>
          <w:sz w:val="24"/>
          <w:szCs w:val="24"/>
        </w:rPr>
        <w:lastRenderedPageBreak/>
        <w:t>La clasificación de la información reservada debe ser de manera temporal.</w:t>
      </w:r>
      <w:bookmarkEnd w:id="15"/>
    </w:p>
    <w:p w:rsidR="00A03749" w:rsidRPr="00A03749" w:rsidRDefault="00A03749" w:rsidP="004E1411">
      <w:pPr>
        <w:tabs>
          <w:tab w:val="left" w:pos="142"/>
        </w:tabs>
        <w:rPr>
          <w:rFonts w:ascii="Palatino Linotype" w:hAnsi="Palatino Linotype"/>
          <w:b/>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A03749" w:rsidRPr="00A03749" w:rsidRDefault="00A03749" w:rsidP="004E1411">
      <w:pPr>
        <w:tabs>
          <w:tab w:val="left" w:pos="142"/>
        </w:tabs>
        <w:spacing w:line="360" w:lineRule="auto"/>
        <w:contextualSpacing/>
        <w:jc w:val="both"/>
        <w:rPr>
          <w:rFonts w:ascii="Palatino Linotype" w:hAnsi="Palatino Linotype"/>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A03749" w:rsidRPr="00A03749" w:rsidRDefault="00A03749" w:rsidP="004E1411">
      <w:pPr>
        <w:tabs>
          <w:tab w:val="left" w:pos="142"/>
        </w:tabs>
        <w:contextualSpacing/>
        <w:rPr>
          <w:rFonts w:ascii="Palatino Linotype" w:hAnsi="Palatino Linotype"/>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A03749" w:rsidRPr="00A03749" w:rsidRDefault="00A03749" w:rsidP="004E1411">
      <w:pPr>
        <w:tabs>
          <w:tab w:val="left" w:pos="142"/>
        </w:tabs>
        <w:contextualSpacing/>
        <w:rPr>
          <w:rFonts w:ascii="Palatino Linotype" w:hAnsi="Palatino Linotype"/>
          <w:b/>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De</w:t>
      </w:r>
      <w:r w:rsidRPr="00A03749">
        <w:rPr>
          <w:rFonts w:ascii="Palatino Linotype" w:hAnsi="Palatino Linotype"/>
          <w:b/>
          <w:sz w:val="24"/>
          <w:szCs w:val="24"/>
        </w:rPr>
        <w:t xml:space="preserve"> </w:t>
      </w:r>
      <w:r w:rsidRPr="00A03749">
        <w:rPr>
          <w:rFonts w:ascii="Palatino Linotype" w:hAnsi="Palatino Linotype"/>
          <w:sz w:val="24"/>
          <w:szCs w:val="24"/>
        </w:rPr>
        <w:t xml:space="preserve">manera excepcional los sujetos obligados con la aprobación de su Comité de Transparencia, podrán ampliar el periodo de reserva hasta por un plazo de cinco años adicionales y por una sola vez, siempre y cuando justifiquen que subsisten las </w:t>
      </w:r>
      <w:r w:rsidRPr="00A03749">
        <w:rPr>
          <w:rFonts w:ascii="Palatino Linotype" w:hAnsi="Palatino Linotype"/>
          <w:sz w:val="24"/>
          <w:szCs w:val="24"/>
        </w:rPr>
        <w:lastRenderedPageBreak/>
        <w:t xml:space="preserve">causas que dieron origen a su clasificación, mediante la aplicación de una prueba de daño. </w:t>
      </w:r>
    </w:p>
    <w:p w:rsidR="00A03749" w:rsidRPr="00A03749" w:rsidRDefault="00A03749" w:rsidP="004E1411">
      <w:pPr>
        <w:tabs>
          <w:tab w:val="left" w:pos="142"/>
        </w:tabs>
        <w:contextualSpacing/>
        <w:rPr>
          <w:rFonts w:ascii="Palatino Linotype" w:hAnsi="Palatino Linotype"/>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A03749" w:rsidRPr="00A03749" w:rsidRDefault="00A03749" w:rsidP="004E1411">
      <w:pPr>
        <w:tabs>
          <w:tab w:val="left" w:pos="142"/>
        </w:tabs>
        <w:contextualSpacing/>
        <w:rPr>
          <w:rFonts w:ascii="Palatino Linotype" w:hAnsi="Palatino Linotype"/>
          <w:sz w:val="24"/>
          <w:szCs w:val="24"/>
        </w:rPr>
      </w:pPr>
    </w:p>
    <w:p w:rsid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Ahora bien, al caso en particular, se debe estar atento a lo que contiene el artículo 132 y 106 de la Ley Estatal y Ley General respectivamente los cuales establecen lo siguiente:</w:t>
      </w:r>
    </w:p>
    <w:p w:rsidR="004E1411" w:rsidRDefault="004E1411" w:rsidP="004E1411">
      <w:pPr>
        <w:pStyle w:val="Prrafodelista"/>
        <w:rPr>
          <w:rFonts w:ascii="Palatino Linotype" w:hAnsi="Palatino Linotype"/>
          <w:sz w:val="24"/>
          <w:szCs w:val="24"/>
        </w:rPr>
      </w:pPr>
    </w:p>
    <w:p w:rsidR="00A03749" w:rsidRPr="00A03749" w:rsidRDefault="00A03749" w:rsidP="004E1411">
      <w:pPr>
        <w:tabs>
          <w:tab w:val="left" w:pos="142"/>
          <w:tab w:val="left" w:pos="8222"/>
        </w:tabs>
        <w:autoSpaceDE w:val="0"/>
        <w:autoSpaceDN w:val="0"/>
        <w:adjustRightInd w:val="0"/>
        <w:spacing w:after="0" w:line="360" w:lineRule="auto"/>
        <w:ind w:left="567" w:right="616"/>
        <w:jc w:val="both"/>
        <w:rPr>
          <w:rFonts w:ascii="Palatino Linotype" w:hAnsi="Palatino Linotype" w:cs="Bookman Old Style"/>
          <w:i/>
          <w:szCs w:val="24"/>
          <w:lang w:val="es-ES"/>
        </w:rPr>
      </w:pPr>
      <w:r w:rsidRPr="00A03749">
        <w:rPr>
          <w:rFonts w:ascii="Palatino Linotype" w:hAnsi="Palatino Linotype" w:cs="Bookman Old Style,Bold"/>
          <w:b/>
          <w:bCs/>
          <w:i/>
          <w:szCs w:val="24"/>
          <w:lang w:val="es-ES"/>
        </w:rPr>
        <w:t xml:space="preserve">Artículo 132. </w:t>
      </w:r>
      <w:r w:rsidRPr="00A03749">
        <w:rPr>
          <w:rFonts w:ascii="Palatino Linotype" w:hAnsi="Palatino Linotype" w:cs="Bookman Old Style"/>
          <w:i/>
          <w:szCs w:val="24"/>
          <w:lang w:val="es-ES"/>
        </w:rPr>
        <w:t>La clasificación de la información se llevará a cabo en el momento en que:</w:t>
      </w:r>
    </w:p>
    <w:p w:rsidR="00A03749" w:rsidRPr="00A03749" w:rsidRDefault="00A03749" w:rsidP="004E1411">
      <w:pPr>
        <w:tabs>
          <w:tab w:val="left" w:pos="142"/>
          <w:tab w:val="left" w:pos="8222"/>
        </w:tabs>
        <w:autoSpaceDE w:val="0"/>
        <w:autoSpaceDN w:val="0"/>
        <w:adjustRightInd w:val="0"/>
        <w:spacing w:after="0" w:line="360" w:lineRule="auto"/>
        <w:ind w:left="567" w:right="616"/>
        <w:jc w:val="both"/>
        <w:rPr>
          <w:rFonts w:ascii="Palatino Linotype" w:hAnsi="Palatino Linotype" w:cs="Bookman Old Style"/>
          <w:i/>
          <w:szCs w:val="24"/>
          <w:lang w:val="es-ES"/>
        </w:rPr>
      </w:pPr>
    </w:p>
    <w:p w:rsidR="00A03749" w:rsidRPr="00A03749" w:rsidRDefault="00A03749" w:rsidP="004E1411">
      <w:pPr>
        <w:tabs>
          <w:tab w:val="left" w:pos="142"/>
          <w:tab w:val="left" w:pos="8222"/>
        </w:tabs>
        <w:autoSpaceDE w:val="0"/>
        <w:autoSpaceDN w:val="0"/>
        <w:adjustRightInd w:val="0"/>
        <w:spacing w:after="0" w:line="360" w:lineRule="auto"/>
        <w:ind w:left="567" w:right="616"/>
        <w:jc w:val="both"/>
        <w:rPr>
          <w:rFonts w:ascii="Palatino Linotype" w:hAnsi="Palatino Linotype" w:cs="Bookman Old Style"/>
          <w:i/>
          <w:szCs w:val="24"/>
          <w:lang w:val="es-ES"/>
        </w:rPr>
      </w:pPr>
      <w:r w:rsidRPr="00A03749">
        <w:rPr>
          <w:rFonts w:ascii="Palatino Linotype" w:hAnsi="Palatino Linotype" w:cs="Bookman Old Style,Bold"/>
          <w:b/>
          <w:bCs/>
          <w:i/>
          <w:szCs w:val="24"/>
          <w:lang w:val="es-ES"/>
        </w:rPr>
        <w:t xml:space="preserve">I. </w:t>
      </w:r>
      <w:r w:rsidRPr="00A03749">
        <w:rPr>
          <w:rFonts w:ascii="Palatino Linotype" w:hAnsi="Palatino Linotype" w:cs="Bookman Old Style"/>
          <w:i/>
          <w:szCs w:val="24"/>
          <w:lang w:val="es-ES"/>
        </w:rPr>
        <w:t>Se reciba una solicitud de acceso a la información;</w:t>
      </w:r>
    </w:p>
    <w:p w:rsidR="00A03749" w:rsidRPr="00A03749" w:rsidRDefault="00A03749" w:rsidP="004E1411">
      <w:pPr>
        <w:tabs>
          <w:tab w:val="left" w:pos="142"/>
          <w:tab w:val="left" w:pos="8222"/>
        </w:tabs>
        <w:autoSpaceDE w:val="0"/>
        <w:autoSpaceDN w:val="0"/>
        <w:adjustRightInd w:val="0"/>
        <w:spacing w:after="0" w:line="360" w:lineRule="auto"/>
        <w:ind w:left="567" w:right="616"/>
        <w:jc w:val="both"/>
        <w:rPr>
          <w:rFonts w:ascii="Palatino Linotype" w:hAnsi="Palatino Linotype" w:cs="Bookman Old Style"/>
          <w:i/>
          <w:szCs w:val="24"/>
          <w:lang w:val="es-ES"/>
        </w:rPr>
      </w:pPr>
      <w:r w:rsidRPr="00A03749">
        <w:rPr>
          <w:rFonts w:ascii="Palatino Linotype" w:hAnsi="Palatino Linotype" w:cs="Bookman Old Style,Bold"/>
          <w:b/>
          <w:bCs/>
          <w:i/>
          <w:szCs w:val="24"/>
          <w:lang w:val="es-ES"/>
        </w:rPr>
        <w:t xml:space="preserve">II. </w:t>
      </w:r>
      <w:r w:rsidRPr="00A03749">
        <w:rPr>
          <w:rFonts w:ascii="Palatino Linotype" w:hAnsi="Palatino Linotype" w:cs="Bookman Old Style"/>
          <w:i/>
          <w:szCs w:val="24"/>
          <w:lang w:val="es-ES"/>
        </w:rPr>
        <w:t>Se determine mediante resolución de autoridad competente; o</w:t>
      </w:r>
    </w:p>
    <w:p w:rsidR="00A03749" w:rsidRPr="00A03749" w:rsidRDefault="00A03749" w:rsidP="004E1411">
      <w:pPr>
        <w:tabs>
          <w:tab w:val="left" w:pos="142"/>
          <w:tab w:val="left" w:pos="8222"/>
        </w:tabs>
        <w:autoSpaceDE w:val="0"/>
        <w:autoSpaceDN w:val="0"/>
        <w:adjustRightInd w:val="0"/>
        <w:spacing w:after="0" w:line="360" w:lineRule="auto"/>
        <w:ind w:left="567" w:right="616"/>
        <w:jc w:val="both"/>
        <w:rPr>
          <w:rFonts w:ascii="Palatino Linotype" w:hAnsi="Palatino Linotype" w:cs="Bookman Old Style"/>
          <w:i/>
          <w:szCs w:val="24"/>
          <w:lang w:val="es-ES"/>
        </w:rPr>
      </w:pPr>
      <w:r w:rsidRPr="00A03749">
        <w:rPr>
          <w:rFonts w:ascii="Palatino Linotype" w:hAnsi="Palatino Linotype" w:cs="Bookman Old Style,Bold"/>
          <w:b/>
          <w:bCs/>
          <w:i/>
          <w:szCs w:val="24"/>
          <w:lang w:val="es-ES"/>
        </w:rPr>
        <w:t xml:space="preserve">III. </w:t>
      </w:r>
      <w:r w:rsidRPr="00A03749">
        <w:rPr>
          <w:rFonts w:ascii="Palatino Linotype" w:hAnsi="Palatino Linotype" w:cs="Bookman Old Style"/>
          <w:i/>
          <w:szCs w:val="24"/>
          <w:lang w:val="es-ES"/>
        </w:rPr>
        <w:t>Se generen versiones públicas para dar cumplimiento a las obligaciones de transparencia previstas en esta Ley.</w:t>
      </w:r>
    </w:p>
    <w:p w:rsidR="00A03749" w:rsidRPr="00A03749" w:rsidRDefault="00A03749" w:rsidP="004E1411">
      <w:pPr>
        <w:tabs>
          <w:tab w:val="left" w:pos="142"/>
          <w:tab w:val="left" w:pos="8222"/>
        </w:tabs>
        <w:autoSpaceDE w:val="0"/>
        <w:autoSpaceDN w:val="0"/>
        <w:adjustRightInd w:val="0"/>
        <w:spacing w:after="0" w:line="360" w:lineRule="auto"/>
        <w:ind w:left="567" w:right="616"/>
        <w:jc w:val="both"/>
        <w:rPr>
          <w:rFonts w:ascii="Palatino Linotype" w:hAnsi="Palatino Linotype" w:cs="Bookman Old Style"/>
          <w:i/>
          <w:szCs w:val="24"/>
          <w:lang w:val="es-ES"/>
        </w:rPr>
      </w:pPr>
    </w:p>
    <w:p w:rsidR="00A03749" w:rsidRPr="00A03749" w:rsidRDefault="00A03749" w:rsidP="004E1411">
      <w:pPr>
        <w:tabs>
          <w:tab w:val="left" w:pos="142"/>
          <w:tab w:val="left" w:pos="8222"/>
        </w:tabs>
        <w:autoSpaceDE w:val="0"/>
        <w:autoSpaceDN w:val="0"/>
        <w:adjustRightInd w:val="0"/>
        <w:spacing w:after="0" w:line="360" w:lineRule="auto"/>
        <w:ind w:left="567" w:right="616"/>
        <w:jc w:val="both"/>
        <w:rPr>
          <w:rFonts w:ascii="Palatino Linotype" w:hAnsi="Palatino Linotype" w:cs="Bookman Old Style"/>
          <w:i/>
          <w:szCs w:val="24"/>
          <w:lang w:val="es-ES"/>
        </w:rPr>
      </w:pPr>
      <w:r w:rsidRPr="00A03749">
        <w:rPr>
          <w:rFonts w:ascii="Palatino Linotype" w:hAnsi="Palatino Linotype" w:cs="Bookman Old Style"/>
          <w:i/>
          <w:szCs w:val="24"/>
          <w:lang w:val="es-ES"/>
        </w:rPr>
        <w:lastRenderedPageBreak/>
        <w:t>Tratándose de información reservada, los titulares de las áreas deberán revisar la clasificación al momento de la recepción de una solicitud, para verificar si subsisten las causas que le dieron origen.</w:t>
      </w:r>
    </w:p>
    <w:p w:rsidR="00A03749" w:rsidRPr="00A03749" w:rsidRDefault="00A03749" w:rsidP="004E1411">
      <w:pPr>
        <w:tabs>
          <w:tab w:val="left" w:pos="142"/>
        </w:tabs>
        <w:autoSpaceDE w:val="0"/>
        <w:autoSpaceDN w:val="0"/>
        <w:adjustRightInd w:val="0"/>
        <w:spacing w:after="0" w:line="360" w:lineRule="auto"/>
        <w:ind w:right="616"/>
        <w:jc w:val="both"/>
        <w:rPr>
          <w:rFonts w:ascii="Palatino Linotype" w:hAnsi="Palatino Linotype"/>
          <w:i/>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 xml:space="preserve">En ese sentido, resulta importante señalar actuando conforme a derecho, la clasificación de la información es dable al momento de recibir una solicitud de información, o en su defecto, si ya anteriormente la información fue clasificada como reservada, las áreas deberán revisar si aún subsisten las causas que le dieron origen. </w:t>
      </w:r>
    </w:p>
    <w:p w:rsidR="00A03749" w:rsidRPr="00A03749" w:rsidRDefault="00A03749" w:rsidP="004E1411">
      <w:pPr>
        <w:tabs>
          <w:tab w:val="left" w:pos="142"/>
        </w:tabs>
        <w:spacing w:line="360" w:lineRule="auto"/>
        <w:contextualSpacing/>
        <w:jc w:val="both"/>
        <w:rPr>
          <w:rFonts w:ascii="Palatino Linotype" w:hAnsi="Palatino Linotype"/>
          <w:sz w:val="24"/>
          <w:szCs w:val="24"/>
        </w:rPr>
      </w:pPr>
    </w:p>
    <w:p w:rsidR="00A03749" w:rsidRPr="00A03749" w:rsidRDefault="00A0374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sidRPr="00A03749">
        <w:rPr>
          <w:rFonts w:ascii="Palatino Linotype" w:hAnsi="Palatino Linotype"/>
          <w:sz w:val="24"/>
          <w:szCs w:val="24"/>
        </w:rPr>
        <w:t>En otras palabras, la clasificación de la información no puede ser efectuada en el momento en que la autoridad lo desee, sino a menos que exista un elemento que active el análisis de la información y derivado a la naturaleza de la información nos conduzca a su clasificación.</w:t>
      </w:r>
    </w:p>
    <w:p w:rsidR="00A03749" w:rsidRPr="00A03749" w:rsidRDefault="00A03749" w:rsidP="004E1411">
      <w:pPr>
        <w:tabs>
          <w:tab w:val="left" w:pos="142"/>
        </w:tabs>
        <w:contextualSpacing/>
        <w:rPr>
          <w:rFonts w:ascii="Palatino Linotype" w:hAnsi="Palatino Linotype"/>
          <w:sz w:val="24"/>
          <w:szCs w:val="24"/>
        </w:rPr>
      </w:pPr>
    </w:p>
    <w:p w:rsidR="00A03749" w:rsidRDefault="00C030A9" w:rsidP="004E1411">
      <w:pPr>
        <w:numPr>
          <w:ilvl w:val="0"/>
          <w:numId w:val="1"/>
        </w:numPr>
        <w:tabs>
          <w:tab w:val="left" w:pos="142"/>
        </w:tabs>
        <w:spacing w:line="360" w:lineRule="auto"/>
        <w:ind w:left="0" w:firstLine="0"/>
        <w:contextualSpacing/>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62864</wp:posOffset>
                </wp:positionH>
                <wp:positionV relativeFrom="paragraph">
                  <wp:posOffset>1473835</wp:posOffset>
                </wp:positionV>
                <wp:extent cx="5495925" cy="20002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95925" cy="2000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7FF07"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116.05pt" to="437.7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" strokecolor="black [3200]" strokeweight=".5pt">
                <v:stroke joinstyle="miter"/>
              </v:line>
            </w:pict>
          </mc:Fallback>
        </mc:AlternateContent>
      </w:r>
      <w:r w:rsidR="00A03749" w:rsidRPr="00A03749">
        <w:rPr>
          <w:rFonts w:ascii="Palatino Linotype" w:hAnsi="Palatino Linotype"/>
          <w:sz w:val="24"/>
          <w:szCs w:val="24"/>
        </w:rPr>
        <w:t>No obstante, existen bastos supuestos en los que la clasificación de la información como reservada debe ser efectuada, sin embargo, en todos los casos debe ser generada cuando se aprecien elementos concretos que nos ayuden a tener certeza de que se está llevando a cabo una correcta clasificación de la información conforme a lo establecido en la Ley Estatal y Ley General de Transparencia.</w:t>
      </w:r>
    </w:p>
    <w:p w:rsidR="008809CF" w:rsidRDefault="008809CF" w:rsidP="004E1411">
      <w:pPr>
        <w:pStyle w:val="Prrafodelista"/>
        <w:tabs>
          <w:tab w:val="left" w:pos="142"/>
        </w:tabs>
        <w:ind w:left="0"/>
        <w:rPr>
          <w:rFonts w:ascii="Palatino Linotype" w:hAnsi="Palatino Linotype"/>
          <w:sz w:val="24"/>
          <w:szCs w:val="24"/>
        </w:rPr>
      </w:pPr>
    </w:p>
    <w:p w:rsidR="00C030A9" w:rsidRDefault="00C030A9" w:rsidP="004E1411">
      <w:pPr>
        <w:pStyle w:val="Prrafodelista"/>
        <w:tabs>
          <w:tab w:val="left" w:pos="142"/>
        </w:tabs>
        <w:ind w:left="0"/>
        <w:rPr>
          <w:rFonts w:ascii="Palatino Linotype" w:hAnsi="Palatino Linotype"/>
          <w:sz w:val="24"/>
          <w:szCs w:val="24"/>
        </w:rPr>
      </w:pPr>
    </w:p>
    <w:p w:rsidR="00C030A9" w:rsidRDefault="00C030A9" w:rsidP="004E1411">
      <w:pPr>
        <w:pStyle w:val="Prrafodelista"/>
        <w:tabs>
          <w:tab w:val="left" w:pos="142"/>
        </w:tabs>
        <w:ind w:left="0"/>
        <w:rPr>
          <w:rFonts w:ascii="Palatino Linotype" w:hAnsi="Palatino Linotype"/>
          <w:sz w:val="24"/>
          <w:szCs w:val="24"/>
        </w:rPr>
      </w:pPr>
    </w:p>
    <w:p w:rsidR="00A03749" w:rsidRPr="008809CF" w:rsidRDefault="00A03749" w:rsidP="004E1411">
      <w:pPr>
        <w:pStyle w:val="Prrafodelista"/>
        <w:keepNext/>
        <w:keepLines/>
        <w:numPr>
          <w:ilvl w:val="0"/>
          <w:numId w:val="3"/>
        </w:numPr>
        <w:tabs>
          <w:tab w:val="left" w:pos="142"/>
        </w:tabs>
        <w:spacing w:before="240" w:after="0"/>
        <w:ind w:left="0" w:firstLine="0"/>
        <w:outlineLvl w:val="0"/>
        <w:rPr>
          <w:rFonts w:ascii="Palatino Linotype" w:eastAsiaTheme="majorEastAsia" w:hAnsi="Palatino Linotype" w:cstheme="majorBidi"/>
          <w:b/>
          <w:sz w:val="24"/>
          <w:szCs w:val="24"/>
        </w:rPr>
      </w:pPr>
      <w:bookmarkStart w:id="16" w:name="_Toc3895627"/>
      <w:r w:rsidRPr="008809CF">
        <w:rPr>
          <w:rFonts w:ascii="Palatino Linotype" w:eastAsiaTheme="majorEastAsia" w:hAnsi="Palatino Linotype" w:cstheme="majorBidi"/>
          <w:b/>
          <w:sz w:val="24"/>
          <w:szCs w:val="24"/>
        </w:rPr>
        <w:lastRenderedPageBreak/>
        <w:t>Conclusión.</w:t>
      </w:r>
      <w:bookmarkEnd w:id="16"/>
    </w:p>
    <w:p w:rsidR="00A03749" w:rsidRPr="00A03749" w:rsidRDefault="00A03749" w:rsidP="004E1411">
      <w:pPr>
        <w:tabs>
          <w:tab w:val="left" w:pos="142"/>
        </w:tabs>
        <w:rPr>
          <w:rFonts w:ascii="Palatino Linotype" w:hAnsi="Palatino Linotype"/>
          <w:sz w:val="24"/>
          <w:szCs w:val="24"/>
        </w:rPr>
      </w:pPr>
    </w:p>
    <w:p w:rsidR="00A03749" w:rsidRPr="00B75663" w:rsidRDefault="00B75663" w:rsidP="004E1411">
      <w:pPr>
        <w:numPr>
          <w:ilvl w:val="0"/>
          <w:numId w:val="1"/>
        </w:numPr>
        <w:tabs>
          <w:tab w:val="left" w:pos="142"/>
        </w:tabs>
        <w:spacing w:after="0" w:line="360" w:lineRule="auto"/>
        <w:ind w:left="0" w:firstLine="0"/>
        <w:contextualSpacing/>
        <w:jc w:val="both"/>
        <w:rPr>
          <w:rFonts w:ascii="Palatino Linotype" w:hAnsi="Palatino Linotype"/>
          <w:sz w:val="24"/>
          <w:szCs w:val="24"/>
        </w:rPr>
      </w:pPr>
      <w:r w:rsidRPr="00B75663">
        <w:rPr>
          <w:rFonts w:ascii="Palatino Linotype" w:hAnsi="Palatino Linotype"/>
          <w:sz w:val="24"/>
          <w:szCs w:val="24"/>
        </w:rPr>
        <w:t xml:space="preserve">En este tenor, es de considerar que de debió de efectuar de manera minuciosa que la divulgación de la información efectivamente representara un riesgo real, demostrable e identificable, situación que ocurrió, solo se limitó al análisis de la fundamentación y motivación del Acuerdo de reserva. </w:t>
      </w:r>
      <w:r w:rsidR="004E1411" w:rsidRPr="00B75663">
        <w:rPr>
          <w:rFonts w:ascii="Palatino Linotype" w:hAnsi="Palatino Linotype"/>
          <w:sz w:val="24"/>
          <w:szCs w:val="24"/>
        </w:rPr>
        <w:t>Los elementos que brevemente se han señalado son todos los que deben de integrar el proceso de clasificación total o parcial de la información para</w:t>
      </w:r>
      <w:r w:rsidRPr="00B75663">
        <w:rPr>
          <w:rFonts w:ascii="Palatino Linotype" w:hAnsi="Palatino Linotype"/>
          <w:sz w:val="24"/>
          <w:szCs w:val="24"/>
        </w:rPr>
        <w:t xml:space="preserve"> especialmente</w:t>
      </w:r>
      <w:r w:rsidR="004E1411" w:rsidRPr="00B75663">
        <w:rPr>
          <w:rFonts w:ascii="Palatino Linotype" w:hAnsi="Palatino Linotype"/>
          <w:sz w:val="24"/>
          <w:szCs w:val="24"/>
        </w:rPr>
        <w:t xml:space="preserve"> responder a las solicitudes de acceso a la información pública. La falta de cualquiera de ellos puede provocar que el acto que limita o restringe el derecho de acceso a la infor</w:t>
      </w:r>
      <w:r w:rsidRPr="00B75663">
        <w:rPr>
          <w:rFonts w:ascii="Palatino Linotype" w:hAnsi="Palatino Linotype"/>
          <w:sz w:val="24"/>
          <w:szCs w:val="24"/>
        </w:rPr>
        <w:t>mación sea considerada infundada</w:t>
      </w:r>
      <w:r w:rsidR="004E1411" w:rsidRPr="00B75663">
        <w:rPr>
          <w:rFonts w:ascii="Palatino Linotype" w:hAnsi="Palatino Linotype"/>
          <w:sz w:val="24"/>
          <w:szCs w:val="24"/>
        </w:rPr>
        <w:t xml:space="preserve"> y se proceda a ordenar la desclasificación de la información por el incumplimiento de las formalidades, es decir, por vicios de legalidad o a la reposición del acto.</w:t>
      </w:r>
    </w:p>
    <w:p w:rsidR="00A03749" w:rsidRDefault="00A03749" w:rsidP="004E1411">
      <w:pPr>
        <w:tabs>
          <w:tab w:val="left" w:pos="142"/>
        </w:tabs>
        <w:spacing w:after="0" w:line="360" w:lineRule="auto"/>
        <w:contextualSpacing/>
        <w:jc w:val="both"/>
      </w:pPr>
    </w:p>
    <w:p w:rsidR="00B75663" w:rsidRPr="00A03749" w:rsidRDefault="00B75663" w:rsidP="004E1411">
      <w:pPr>
        <w:tabs>
          <w:tab w:val="left" w:pos="142"/>
        </w:tabs>
        <w:spacing w:after="0" w:line="360" w:lineRule="auto"/>
        <w:contextualSpacing/>
        <w:jc w:val="both"/>
      </w:pPr>
    </w:p>
    <w:p w:rsidR="00A03749" w:rsidRPr="00A03749" w:rsidRDefault="00A03749" w:rsidP="004E1411">
      <w:pPr>
        <w:tabs>
          <w:tab w:val="left" w:pos="142"/>
        </w:tabs>
      </w:pPr>
    </w:p>
    <w:p w:rsidR="00A03749" w:rsidRPr="00A03749" w:rsidRDefault="00A03749" w:rsidP="004E1411">
      <w:pPr>
        <w:tabs>
          <w:tab w:val="left" w:pos="142"/>
        </w:tabs>
        <w:spacing w:line="360" w:lineRule="auto"/>
        <w:jc w:val="center"/>
        <w:rPr>
          <w:rFonts w:ascii="Palatino Linotype" w:eastAsia="Calibri" w:hAnsi="Palatino Linotype" w:cs="Arial"/>
          <w:b/>
          <w:sz w:val="24"/>
          <w:szCs w:val="24"/>
        </w:rPr>
      </w:pPr>
      <w:r w:rsidRPr="00A03749">
        <w:rPr>
          <w:rFonts w:ascii="Palatino Linotype" w:eastAsia="Calibri" w:hAnsi="Palatino Linotype" w:cs="Arial"/>
          <w:b/>
          <w:sz w:val="24"/>
          <w:szCs w:val="24"/>
        </w:rPr>
        <w:t>JOSÉ GUADALUPE LUNA HERNÁNDEZ</w:t>
      </w:r>
    </w:p>
    <w:p w:rsidR="00A03749" w:rsidRPr="00A03749" w:rsidRDefault="00A03749" w:rsidP="004E1411">
      <w:pPr>
        <w:tabs>
          <w:tab w:val="left" w:pos="142"/>
        </w:tabs>
        <w:spacing w:line="360" w:lineRule="auto"/>
        <w:jc w:val="center"/>
        <w:rPr>
          <w:rFonts w:ascii="Palatino Linotype" w:eastAsia="Calibri" w:hAnsi="Palatino Linotype" w:cs="Arial"/>
          <w:b/>
          <w:sz w:val="24"/>
          <w:szCs w:val="24"/>
        </w:rPr>
      </w:pPr>
      <w:r w:rsidRPr="00A03749">
        <w:rPr>
          <w:rFonts w:ascii="Palatino Linotype" w:eastAsia="Calibri" w:hAnsi="Palatino Linotype" w:cs="Arial"/>
          <w:b/>
          <w:sz w:val="24"/>
          <w:szCs w:val="24"/>
        </w:rPr>
        <w:t>COMISIONADO</w:t>
      </w:r>
    </w:p>
    <w:p w:rsidR="00C030A9" w:rsidRDefault="00C030A9" w:rsidP="00C030A9">
      <w:pPr>
        <w:tabs>
          <w:tab w:val="left" w:pos="142"/>
          <w:tab w:val="center" w:pos="4419"/>
          <w:tab w:val="left" w:pos="6015"/>
        </w:tabs>
        <w:spacing w:line="360" w:lineRule="auto"/>
        <w:rPr>
          <w:rFonts w:ascii="Palatino Linotype" w:eastAsia="Calibri" w:hAnsi="Palatino Linotype" w:cs="Arial"/>
          <w:b/>
          <w:sz w:val="24"/>
          <w:szCs w:val="24"/>
        </w:rPr>
      </w:pPr>
      <w:r>
        <w:rPr>
          <w:rFonts w:ascii="Palatino Linotype" w:eastAsia="Calibri" w:hAnsi="Palatino Linotype" w:cs="Arial"/>
          <w:b/>
          <w:sz w:val="24"/>
          <w:szCs w:val="24"/>
        </w:rPr>
        <w:tab/>
      </w:r>
      <w:r>
        <w:rPr>
          <w:rFonts w:ascii="Palatino Linotype" w:eastAsia="Calibri" w:hAnsi="Palatino Linotype" w:cs="Arial"/>
          <w:b/>
          <w:sz w:val="24"/>
          <w:szCs w:val="24"/>
        </w:rPr>
        <w:tab/>
        <w:t>(RÚBRICA)</w:t>
      </w:r>
      <w:r>
        <w:rPr>
          <w:rFonts w:ascii="Palatino Linotype" w:eastAsia="Calibri" w:hAnsi="Palatino Linotype" w:cs="Arial"/>
          <w:b/>
          <w:sz w:val="24"/>
          <w:szCs w:val="24"/>
        </w:rPr>
        <w:tab/>
      </w:r>
    </w:p>
    <w:p w:rsidR="00C030A9" w:rsidRDefault="00C030A9" w:rsidP="004E1411">
      <w:pPr>
        <w:tabs>
          <w:tab w:val="left" w:pos="142"/>
        </w:tabs>
        <w:spacing w:line="360" w:lineRule="auto"/>
        <w:rPr>
          <w:rFonts w:ascii="Palatino Linotype" w:eastAsia="Calibri" w:hAnsi="Palatino Linotype" w:cs="Arial"/>
          <w:b/>
          <w:sz w:val="24"/>
          <w:szCs w:val="24"/>
        </w:rPr>
      </w:pPr>
    </w:p>
    <w:p w:rsidR="00A03749" w:rsidRPr="00A03749" w:rsidRDefault="008809CF" w:rsidP="004E1411">
      <w:pPr>
        <w:tabs>
          <w:tab w:val="left" w:pos="142"/>
        </w:tabs>
        <w:spacing w:line="360" w:lineRule="auto"/>
        <w:rPr>
          <w:rFonts w:ascii="Palatino Linotype" w:hAnsi="Palatino Linotype"/>
          <w:sz w:val="24"/>
          <w:szCs w:val="24"/>
        </w:rPr>
      </w:pPr>
      <w:r>
        <w:rPr>
          <w:rFonts w:ascii="Palatino Linotype" w:eastAsia="Calibri" w:hAnsi="Palatino Linotype" w:cs="Arial"/>
          <w:b/>
          <w:sz w:val="24"/>
          <w:szCs w:val="24"/>
        </w:rPr>
        <w:t>JGLH/MSA</w:t>
      </w:r>
    </w:p>
    <w:sectPr w:rsidR="00A03749" w:rsidRPr="00A03749" w:rsidSect="004E1411">
      <w:headerReference w:type="even" r:id="rId9"/>
      <w:headerReference w:type="default" r:id="rId10"/>
      <w:footerReference w:type="default" r:id="rId11"/>
      <w:headerReference w:type="first" r:id="rId12"/>
      <w:pgSz w:w="12240" w:h="15840" w:code="1"/>
      <w:pgMar w:top="2552" w:right="1701" w:bottom="2552"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39F" w:rsidRDefault="00CB239F" w:rsidP="00A03749">
      <w:pPr>
        <w:spacing w:after="0" w:line="240" w:lineRule="auto"/>
      </w:pPr>
      <w:r>
        <w:separator/>
      </w:r>
    </w:p>
  </w:endnote>
  <w:endnote w:type="continuationSeparator" w:id="0">
    <w:p w:rsidR="00CB239F" w:rsidRDefault="00CB239F" w:rsidP="00A0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B5D1C" w:rsidRDefault="009B5D1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1DB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1DB7">
              <w:rPr>
                <w:b/>
                <w:bCs/>
                <w:noProof/>
              </w:rPr>
              <w:t>29</w:t>
            </w:r>
            <w:r>
              <w:rPr>
                <w:b/>
                <w:bCs/>
                <w:sz w:val="24"/>
                <w:szCs w:val="24"/>
              </w:rPr>
              <w:fldChar w:fldCharType="end"/>
            </w:r>
          </w:p>
        </w:sdtContent>
      </w:sdt>
    </w:sdtContent>
  </w:sdt>
  <w:p w:rsidR="009B5D1C" w:rsidRDefault="009B5D1C" w:rsidP="009B5D1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39F" w:rsidRDefault="00CB239F" w:rsidP="00A03749">
      <w:pPr>
        <w:spacing w:after="0" w:line="240" w:lineRule="auto"/>
      </w:pPr>
      <w:r>
        <w:separator/>
      </w:r>
    </w:p>
  </w:footnote>
  <w:footnote w:type="continuationSeparator" w:id="0">
    <w:p w:rsidR="00CB239F" w:rsidRDefault="00CB239F" w:rsidP="00A03749">
      <w:pPr>
        <w:spacing w:after="0" w:line="240" w:lineRule="auto"/>
      </w:pPr>
      <w:r>
        <w:continuationSeparator/>
      </w:r>
    </w:p>
  </w:footnote>
  <w:footnote w:id="1">
    <w:p w:rsidR="009B5D1C" w:rsidRDefault="009B5D1C" w:rsidP="00A0374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B5D1C" w:rsidRPr="00266430" w:rsidRDefault="009B5D1C" w:rsidP="00A03749">
      <w:pPr>
        <w:pStyle w:val="Textonotapie"/>
        <w:jc w:val="both"/>
      </w:pPr>
      <w:r w:rsidRPr="00266430">
        <w:t xml:space="preserve">1a./J. 2/2012 (9a.). Primera Sala. Décima Época. Semanario Judicial de la Federación y su Gaceta. Libro V, Febrero de 2012, Pág. 533.  </w:t>
      </w:r>
    </w:p>
  </w:footnote>
  <w:footnote w:id="2">
    <w:p w:rsidR="009B5D1C" w:rsidRPr="00A870EF" w:rsidRDefault="009B5D1C" w:rsidP="00A0374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rsidR="009B5D1C" w:rsidRDefault="009B5D1C" w:rsidP="00A0374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B5D1C" w:rsidRDefault="009B5D1C" w:rsidP="00A0374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B5D1C" w:rsidRPr="001E1F95" w:rsidRDefault="009B5D1C" w:rsidP="00A0374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9B5D1C" w:rsidRPr="00ED2A04" w:rsidRDefault="009B5D1C" w:rsidP="00A0374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5">
    <w:p w:rsidR="009B5D1C" w:rsidRPr="00ED2A04" w:rsidRDefault="009B5D1C" w:rsidP="00A0374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6">
    <w:p w:rsidR="009B5D1C" w:rsidRPr="000406A4" w:rsidRDefault="009B5D1C" w:rsidP="00A0374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7">
    <w:p w:rsidR="009B5D1C" w:rsidRPr="000406A4" w:rsidRDefault="009B5D1C" w:rsidP="00A0374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8">
    <w:p w:rsidR="009B5D1C" w:rsidRPr="000406A4" w:rsidRDefault="009B5D1C" w:rsidP="00A0374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9">
    <w:p w:rsidR="009B5D1C" w:rsidRPr="000406A4" w:rsidRDefault="009B5D1C" w:rsidP="00A0374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0">
    <w:p w:rsidR="009B5D1C" w:rsidRPr="000406A4" w:rsidRDefault="009B5D1C" w:rsidP="00A0374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1">
    <w:p w:rsidR="009B5D1C" w:rsidRPr="00AF123A" w:rsidRDefault="009B5D1C" w:rsidP="00A03749">
      <w:pPr>
        <w:jc w:val="both"/>
        <w:rPr>
          <w:rFonts w:ascii="Times New Roman" w:eastAsia="Times New Roman" w:hAnsi="Times New Roman" w:cs="Times New Roman"/>
          <w:sz w:val="24"/>
          <w:szCs w:val="24"/>
          <w:lang w:val="es-ES_tradnl"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val="es-ES_tradnl" w:eastAsia="es-ES_tradnl"/>
        </w:rPr>
        <w:t xml:space="preserve">” Citado en Corte Interamericana de Derechos Humanos. Caso Gonzales Lluy y otros contra Ecuador. Excepciones preliminares, fondo, reparaciones y costas. Sentencia del 01 de septiembre de 2015. Párr. 256. </w:t>
      </w:r>
      <w:r w:rsidRPr="00AF123A">
        <w:rPr>
          <w:rFonts w:ascii="Arial" w:eastAsia="Times New Roman" w:hAnsi="Arial" w:cs="Arial"/>
          <w:color w:val="333333"/>
          <w:sz w:val="18"/>
          <w:szCs w:val="18"/>
          <w:lang w:val="es-ES_tradnl" w:eastAsia="es-ES_tradnl"/>
        </w:rPr>
        <w:t> </w:t>
      </w:r>
    </w:p>
  </w:footnote>
  <w:footnote w:id="12">
    <w:p w:rsidR="009B5D1C" w:rsidRPr="00A4142C" w:rsidRDefault="009B5D1C" w:rsidP="00A0374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D1C" w:rsidRDefault="00CB239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D1C" w:rsidRDefault="00CB239F">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1" type="#_x0000_t136" style="position:absolute;margin-left:0;margin-top:0;width:566.4pt;height:56.6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B5D1C" w:rsidRDefault="009B5D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D1C" w:rsidRDefault="00CB239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335"/>
    <w:multiLevelType w:val="hybridMultilevel"/>
    <w:tmpl w:val="E790001E"/>
    <w:lvl w:ilvl="0" w:tplc="DAB871A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91E178F"/>
    <w:multiLevelType w:val="hybridMultilevel"/>
    <w:tmpl w:val="9A1A76C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6318EF"/>
    <w:multiLevelType w:val="hybridMultilevel"/>
    <w:tmpl w:val="EF669B56"/>
    <w:lvl w:ilvl="0" w:tplc="856AA21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49"/>
    <w:rsid w:val="0014187E"/>
    <w:rsid w:val="00197C5F"/>
    <w:rsid w:val="001B5640"/>
    <w:rsid w:val="001E2A5F"/>
    <w:rsid w:val="002E1910"/>
    <w:rsid w:val="003B2E5E"/>
    <w:rsid w:val="003F1C2F"/>
    <w:rsid w:val="004E1411"/>
    <w:rsid w:val="00500FBA"/>
    <w:rsid w:val="00690694"/>
    <w:rsid w:val="007631BC"/>
    <w:rsid w:val="007E6D21"/>
    <w:rsid w:val="007E7F39"/>
    <w:rsid w:val="00850000"/>
    <w:rsid w:val="008809CF"/>
    <w:rsid w:val="008E1DB7"/>
    <w:rsid w:val="009A23FC"/>
    <w:rsid w:val="009B5D1C"/>
    <w:rsid w:val="00A03749"/>
    <w:rsid w:val="00A841F8"/>
    <w:rsid w:val="00B75663"/>
    <w:rsid w:val="00BE06EA"/>
    <w:rsid w:val="00C030A9"/>
    <w:rsid w:val="00CB239F"/>
    <w:rsid w:val="00E321C2"/>
    <w:rsid w:val="00E85DBC"/>
    <w:rsid w:val="00F62A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7166AEB-7F7E-4C73-96F6-A4FECDF6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0374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0374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A03749"/>
    <w:rPr>
      <w:vertAlign w:val="superscript"/>
    </w:rPr>
  </w:style>
  <w:style w:type="paragraph" w:styleId="Piedepgina">
    <w:name w:val="footer"/>
    <w:basedOn w:val="Normal"/>
    <w:link w:val="PiedepginaCar"/>
    <w:uiPriority w:val="99"/>
    <w:unhideWhenUsed/>
    <w:rsid w:val="00A037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3749"/>
  </w:style>
  <w:style w:type="paragraph" w:styleId="Encabezado">
    <w:name w:val="header"/>
    <w:basedOn w:val="Normal"/>
    <w:link w:val="EncabezadoCar"/>
    <w:uiPriority w:val="99"/>
    <w:unhideWhenUsed/>
    <w:rsid w:val="00A037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3749"/>
  </w:style>
  <w:style w:type="character" w:styleId="Hipervnculo">
    <w:name w:val="Hyperlink"/>
    <w:basedOn w:val="Fuentedeprrafopredeter"/>
    <w:uiPriority w:val="99"/>
    <w:unhideWhenUsed/>
    <w:rsid w:val="00A03749"/>
    <w:rPr>
      <w:color w:val="0563C1" w:themeColor="hyperlink"/>
      <w:u w:val="single"/>
    </w:rPr>
  </w:style>
  <w:style w:type="table" w:styleId="Tablanormal1">
    <w:name w:val="Plain Table 1"/>
    <w:basedOn w:val="Tablanormal"/>
    <w:uiPriority w:val="41"/>
    <w:rsid w:val="00A037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3FC"/>
    <w:pPr>
      <w:ind w:left="720"/>
      <w:contextualSpacing/>
    </w:pPr>
  </w:style>
  <w:style w:type="paragraph" w:styleId="TDC1">
    <w:name w:val="toc 1"/>
    <w:basedOn w:val="Normal"/>
    <w:next w:val="Normal"/>
    <w:autoRedefine/>
    <w:uiPriority w:val="39"/>
    <w:unhideWhenUsed/>
    <w:rsid w:val="009B5D1C"/>
    <w:pPr>
      <w:spacing w:after="100"/>
    </w:pPr>
  </w:style>
  <w:style w:type="paragraph" w:styleId="TDC2">
    <w:name w:val="toc 2"/>
    <w:basedOn w:val="Normal"/>
    <w:next w:val="Normal"/>
    <w:autoRedefine/>
    <w:uiPriority w:val="39"/>
    <w:unhideWhenUsed/>
    <w:rsid w:val="009B5D1C"/>
    <w:pPr>
      <w:spacing w:after="100"/>
      <w:ind w:left="220"/>
    </w:pPr>
  </w:style>
  <w:style w:type="paragraph" w:styleId="TDC3">
    <w:name w:val="toc 3"/>
    <w:basedOn w:val="Normal"/>
    <w:next w:val="Normal"/>
    <w:autoRedefine/>
    <w:uiPriority w:val="39"/>
    <w:unhideWhenUsed/>
    <w:rsid w:val="009B5D1C"/>
    <w:pPr>
      <w:spacing w:after="100"/>
      <w:ind w:left="44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B5D1C"/>
  </w:style>
  <w:style w:type="paragraph" w:styleId="Textodeglobo">
    <w:name w:val="Balloon Text"/>
    <w:basedOn w:val="Normal"/>
    <w:link w:val="TextodegloboCar"/>
    <w:uiPriority w:val="99"/>
    <w:semiHidden/>
    <w:unhideWhenUsed/>
    <w:rsid w:val="00C030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30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41FB6-7E0C-47B0-973C-666060AC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5099</Words>
  <Characters>28050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cp:revision>
  <cp:lastPrinted>2019-03-19T22:01:00Z</cp:lastPrinted>
  <dcterms:created xsi:type="dcterms:W3CDTF">2019-03-20T23:58:00Z</dcterms:created>
  <dcterms:modified xsi:type="dcterms:W3CDTF">2019-03-20T23:58:00Z</dcterms:modified>
</cp:coreProperties>
</file>